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DA735" w14:textId="77777777" w:rsidR="00F203E7" w:rsidRDefault="00F203E7" w:rsidP="00126794">
      <w:pPr>
        <w:spacing w:line="360" w:lineRule="auto"/>
        <w:rPr>
          <w:rFonts w:ascii="Helvetica" w:hAnsi="Helvetica"/>
          <w:b/>
          <w:bCs/>
          <w:sz w:val="22"/>
          <w:szCs w:val="22"/>
          <w:lang w:val="es-ES"/>
        </w:rPr>
      </w:pPr>
    </w:p>
    <w:p w14:paraId="30581FEE" w14:textId="77777777" w:rsidR="00F203E7" w:rsidRDefault="00F203E7" w:rsidP="00126794">
      <w:pPr>
        <w:spacing w:line="360" w:lineRule="auto"/>
        <w:rPr>
          <w:rFonts w:ascii="Helvetica" w:hAnsi="Helvetica"/>
          <w:b/>
          <w:bCs/>
          <w:sz w:val="22"/>
          <w:szCs w:val="22"/>
          <w:lang w:val="es-ES"/>
        </w:rPr>
      </w:pPr>
    </w:p>
    <w:p w14:paraId="51BD452A" w14:textId="77777777" w:rsidR="00F203E7" w:rsidRDefault="00F203E7" w:rsidP="00126794">
      <w:pPr>
        <w:spacing w:line="360" w:lineRule="auto"/>
        <w:rPr>
          <w:rFonts w:ascii="Helvetica" w:hAnsi="Helvetica"/>
          <w:b/>
          <w:bCs/>
          <w:sz w:val="22"/>
          <w:szCs w:val="22"/>
          <w:lang w:val="es-ES"/>
        </w:rPr>
      </w:pPr>
    </w:p>
    <w:p w14:paraId="2F035841" w14:textId="77777777" w:rsidR="00F203E7" w:rsidRDefault="00F203E7" w:rsidP="00126794">
      <w:pPr>
        <w:spacing w:line="360" w:lineRule="auto"/>
        <w:rPr>
          <w:rFonts w:ascii="Helvetica" w:hAnsi="Helvetica"/>
          <w:b/>
          <w:bCs/>
          <w:sz w:val="22"/>
          <w:szCs w:val="22"/>
          <w:lang w:val="es-ES"/>
        </w:rPr>
      </w:pPr>
    </w:p>
    <w:p w14:paraId="524A555E" w14:textId="77777777" w:rsidR="00F203E7" w:rsidRDefault="00F203E7" w:rsidP="00126794">
      <w:pPr>
        <w:spacing w:line="360" w:lineRule="auto"/>
        <w:rPr>
          <w:rFonts w:ascii="Helvetica" w:hAnsi="Helvetica"/>
          <w:b/>
          <w:bCs/>
          <w:sz w:val="22"/>
          <w:szCs w:val="22"/>
          <w:lang w:val="es-ES"/>
        </w:rPr>
      </w:pPr>
    </w:p>
    <w:p w14:paraId="5F5EDFDE" w14:textId="77777777" w:rsidR="00F203E7" w:rsidRDefault="00F203E7" w:rsidP="00126794">
      <w:pPr>
        <w:spacing w:line="360" w:lineRule="auto"/>
        <w:rPr>
          <w:rFonts w:ascii="Helvetica" w:hAnsi="Helvetica"/>
          <w:b/>
          <w:bCs/>
          <w:sz w:val="22"/>
          <w:szCs w:val="22"/>
          <w:lang w:val="es-ES"/>
        </w:rPr>
      </w:pPr>
    </w:p>
    <w:p w14:paraId="4D9103A1" w14:textId="55BF3B90" w:rsidR="005A7B6D" w:rsidRPr="0086506B" w:rsidRDefault="00126794" w:rsidP="0086506B">
      <w:pPr>
        <w:spacing w:line="360" w:lineRule="auto"/>
        <w:jc w:val="right"/>
        <w:rPr>
          <w:rFonts w:ascii="Helvetica" w:hAnsi="Helvetica"/>
          <w:b/>
          <w:bCs/>
          <w:sz w:val="28"/>
          <w:szCs w:val="28"/>
          <w:lang w:val="es-ES"/>
        </w:rPr>
      </w:pPr>
      <w:r w:rsidRPr="0086506B">
        <w:rPr>
          <w:rFonts w:ascii="Helvetica" w:hAnsi="Helvetica"/>
          <w:b/>
          <w:bCs/>
          <w:sz w:val="28"/>
          <w:szCs w:val="28"/>
          <w:lang w:val="es-ES"/>
        </w:rPr>
        <w:t xml:space="preserve">Informe sobre sentencias penales en casos de desaparición forzada de personas en los ámbitos federal y local. </w:t>
      </w:r>
    </w:p>
    <w:p w14:paraId="245CDD14" w14:textId="199A12F9" w:rsidR="00F203E7" w:rsidRDefault="00F203E7" w:rsidP="00126794">
      <w:pPr>
        <w:spacing w:line="360" w:lineRule="auto"/>
        <w:rPr>
          <w:rFonts w:ascii="Helvetica" w:hAnsi="Helvetica"/>
          <w:b/>
          <w:bCs/>
          <w:sz w:val="22"/>
          <w:szCs w:val="22"/>
          <w:lang w:val="es-ES"/>
        </w:rPr>
      </w:pPr>
    </w:p>
    <w:p w14:paraId="46D6919B" w14:textId="6A5EEA15" w:rsidR="00F203E7" w:rsidRDefault="00F203E7" w:rsidP="00F203E7">
      <w:pPr>
        <w:spacing w:line="360" w:lineRule="auto"/>
        <w:jc w:val="right"/>
        <w:rPr>
          <w:rFonts w:ascii="Helvetica" w:hAnsi="Helvetica"/>
          <w:b/>
          <w:bCs/>
          <w:sz w:val="22"/>
          <w:szCs w:val="22"/>
          <w:lang w:val="es-ES"/>
        </w:rPr>
      </w:pPr>
      <w:r>
        <w:rPr>
          <w:rFonts w:ascii="Helvetica" w:hAnsi="Helvetica"/>
          <w:b/>
          <w:bCs/>
          <w:sz w:val="22"/>
          <w:szCs w:val="22"/>
          <w:lang w:val="es-ES"/>
        </w:rPr>
        <w:t>Observatorio sobre Desaparición e Impunidad en México</w:t>
      </w:r>
    </w:p>
    <w:p w14:paraId="564711A7" w14:textId="53E927EC" w:rsidR="00F203E7" w:rsidRDefault="00F203E7" w:rsidP="00F203E7">
      <w:pPr>
        <w:spacing w:line="360" w:lineRule="auto"/>
        <w:jc w:val="right"/>
        <w:rPr>
          <w:rFonts w:ascii="Helvetica" w:hAnsi="Helvetica"/>
          <w:b/>
          <w:bCs/>
          <w:sz w:val="22"/>
          <w:szCs w:val="22"/>
          <w:lang w:val="es-ES"/>
        </w:rPr>
      </w:pPr>
      <w:r>
        <w:rPr>
          <w:rFonts w:ascii="Helvetica" w:hAnsi="Helvetica"/>
          <w:b/>
          <w:bCs/>
          <w:sz w:val="22"/>
          <w:szCs w:val="22"/>
          <w:lang w:val="es-ES"/>
        </w:rPr>
        <w:t xml:space="preserve">Septiembre 2020. </w:t>
      </w:r>
    </w:p>
    <w:p w14:paraId="37A21633" w14:textId="6EA7F679" w:rsidR="00F203E7" w:rsidRDefault="00F203E7" w:rsidP="00126794">
      <w:pPr>
        <w:spacing w:line="360" w:lineRule="auto"/>
        <w:rPr>
          <w:rFonts w:ascii="Helvetica" w:hAnsi="Helvetica"/>
          <w:b/>
          <w:bCs/>
          <w:sz w:val="22"/>
          <w:szCs w:val="22"/>
          <w:lang w:val="es-ES"/>
        </w:rPr>
      </w:pPr>
    </w:p>
    <w:p w14:paraId="3CA77C90" w14:textId="00627CDA" w:rsidR="0086506B" w:rsidRDefault="0086506B" w:rsidP="00126794">
      <w:pPr>
        <w:spacing w:line="360" w:lineRule="auto"/>
        <w:rPr>
          <w:rFonts w:ascii="Helvetica" w:hAnsi="Helvetica"/>
          <w:b/>
          <w:bCs/>
          <w:sz w:val="22"/>
          <w:szCs w:val="22"/>
          <w:lang w:val="es-ES"/>
        </w:rPr>
      </w:pPr>
    </w:p>
    <w:p w14:paraId="5D5C772F" w14:textId="0105E9FF" w:rsidR="0086506B" w:rsidRDefault="0086506B">
      <w:pPr>
        <w:rPr>
          <w:rFonts w:ascii="Helvetica" w:hAnsi="Helvetica"/>
          <w:b/>
          <w:bCs/>
          <w:sz w:val="22"/>
          <w:szCs w:val="22"/>
          <w:lang w:val="es-ES"/>
        </w:rPr>
      </w:pPr>
      <w:r>
        <w:rPr>
          <w:rFonts w:ascii="Helvetica" w:hAnsi="Helvetica"/>
          <w:b/>
          <w:bCs/>
          <w:sz w:val="22"/>
          <w:szCs w:val="22"/>
          <w:lang w:val="es-ES"/>
        </w:rPr>
        <w:br w:type="page"/>
      </w:r>
    </w:p>
    <w:p w14:paraId="5AEE82BF" w14:textId="1B2786F5" w:rsidR="0086506B" w:rsidRDefault="0086506B" w:rsidP="00126794">
      <w:pPr>
        <w:spacing w:line="360" w:lineRule="auto"/>
        <w:rPr>
          <w:rFonts w:ascii="Helvetica" w:hAnsi="Helvetica"/>
          <w:b/>
          <w:bCs/>
          <w:sz w:val="22"/>
          <w:szCs w:val="22"/>
          <w:lang w:val="es-ES"/>
        </w:rPr>
      </w:pPr>
    </w:p>
    <w:p w14:paraId="56711A80" w14:textId="4F521786" w:rsidR="00915CBD" w:rsidRDefault="00915CBD" w:rsidP="00915CBD">
      <w:pPr>
        <w:spacing w:line="360" w:lineRule="auto"/>
        <w:jc w:val="center"/>
        <w:rPr>
          <w:rFonts w:ascii="Helvetica" w:hAnsi="Helvetica"/>
          <w:b/>
          <w:bCs/>
          <w:sz w:val="22"/>
          <w:szCs w:val="22"/>
          <w:lang w:val="es-ES"/>
        </w:rPr>
      </w:pPr>
      <w:r>
        <w:rPr>
          <w:rFonts w:ascii="Helvetica" w:hAnsi="Helvetica"/>
          <w:b/>
          <w:bCs/>
          <w:sz w:val="22"/>
          <w:szCs w:val="22"/>
          <w:lang w:val="es-ES"/>
        </w:rPr>
        <w:t>TABLA DE CONTENIDO</w:t>
      </w:r>
    </w:p>
    <w:p w14:paraId="1B5D55F6" w14:textId="66B76F85" w:rsidR="00915CBD" w:rsidRDefault="00915CBD" w:rsidP="00126794">
      <w:pPr>
        <w:spacing w:line="360" w:lineRule="auto"/>
        <w:rPr>
          <w:rFonts w:ascii="Helvetica" w:hAnsi="Helvetica"/>
          <w:b/>
          <w:bCs/>
          <w:sz w:val="22"/>
          <w:szCs w:val="22"/>
          <w:lang w:val="es-ES"/>
        </w:rPr>
      </w:pPr>
    </w:p>
    <w:p w14:paraId="1A4BCB6A" w14:textId="749CA5DA" w:rsidR="00915CBD" w:rsidRPr="00915CBD" w:rsidRDefault="00915CBD">
      <w:pPr>
        <w:pStyle w:val="TDC1"/>
        <w:tabs>
          <w:tab w:val="right" w:leader="underscore" w:pos="8828"/>
        </w:tabs>
        <w:rPr>
          <w:rFonts w:ascii="Helvetica" w:eastAsiaTheme="minorEastAsia" w:hAnsi="Helvetica" w:cstheme="minorBidi"/>
          <w:b w:val="0"/>
          <w:bCs w:val="0"/>
          <w:i w:val="0"/>
          <w:iCs w:val="0"/>
          <w:noProof/>
          <w:sz w:val="22"/>
          <w:szCs w:val="22"/>
        </w:rPr>
      </w:pPr>
      <w:r w:rsidRPr="00915CBD">
        <w:rPr>
          <w:rFonts w:ascii="Helvetica" w:hAnsi="Helvetica"/>
          <w:b w:val="0"/>
          <w:bCs w:val="0"/>
          <w:sz w:val="22"/>
          <w:szCs w:val="22"/>
          <w:lang w:val="es-ES"/>
        </w:rPr>
        <w:fldChar w:fldCharType="begin"/>
      </w:r>
      <w:r w:rsidRPr="00915CBD">
        <w:rPr>
          <w:rFonts w:ascii="Helvetica" w:hAnsi="Helvetica"/>
          <w:b w:val="0"/>
          <w:bCs w:val="0"/>
          <w:sz w:val="22"/>
          <w:szCs w:val="22"/>
          <w:lang w:val="es-ES"/>
        </w:rPr>
        <w:instrText xml:space="preserve"> TOC \o "1-3" \h \z \u </w:instrText>
      </w:r>
      <w:r w:rsidRPr="00915CBD">
        <w:rPr>
          <w:rFonts w:ascii="Helvetica" w:hAnsi="Helvetica"/>
          <w:b w:val="0"/>
          <w:bCs w:val="0"/>
          <w:sz w:val="22"/>
          <w:szCs w:val="22"/>
          <w:lang w:val="es-ES"/>
        </w:rPr>
        <w:fldChar w:fldCharType="separate"/>
      </w:r>
      <w:hyperlink w:anchor="_Toc52293192" w:history="1">
        <w:r w:rsidRPr="00915CBD">
          <w:rPr>
            <w:rStyle w:val="Hipervnculo"/>
            <w:rFonts w:ascii="Helvetica" w:hAnsi="Helvetica"/>
            <w:b w:val="0"/>
            <w:bCs w:val="0"/>
            <w:noProof/>
            <w:sz w:val="22"/>
            <w:szCs w:val="22"/>
          </w:rPr>
          <w:t>Introducción</w:t>
        </w:r>
        <w:r w:rsidRPr="00915CBD">
          <w:rPr>
            <w:rFonts w:ascii="Helvetica" w:hAnsi="Helvetica"/>
            <w:b w:val="0"/>
            <w:bCs w:val="0"/>
            <w:noProof/>
            <w:webHidden/>
            <w:sz w:val="22"/>
            <w:szCs w:val="22"/>
          </w:rPr>
          <w:tab/>
        </w:r>
        <w:r w:rsidRPr="00915CBD">
          <w:rPr>
            <w:rFonts w:ascii="Helvetica" w:hAnsi="Helvetica"/>
            <w:b w:val="0"/>
            <w:bCs w:val="0"/>
            <w:noProof/>
            <w:webHidden/>
            <w:sz w:val="22"/>
            <w:szCs w:val="22"/>
          </w:rPr>
          <w:fldChar w:fldCharType="begin"/>
        </w:r>
        <w:r w:rsidRPr="00915CBD">
          <w:rPr>
            <w:rFonts w:ascii="Helvetica" w:hAnsi="Helvetica"/>
            <w:b w:val="0"/>
            <w:bCs w:val="0"/>
            <w:noProof/>
            <w:webHidden/>
            <w:sz w:val="22"/>
            <w:szCs w:val="22"/>
          </w:rPr>
          <w:instrText xml:space="preserve"> PAGEREF _Toc52293192 \h </w:instrText>
        </w:r>
        <w:r w:rsidRPr="00915CBD">
          <w:rPr>
            <w:rFonts w:ascii="Helvetica" w:hAnsi="Helvetica"/>
            <w:b w:val="0"/>
            <w:bCs w:val="0"/>
            <w:noProof/>
            <w:webHidden/>
            <w:sz w:val="22"/>
            <w:szCs w:val="22"/>
          </w:rPr>
        </w:r>
        <w:r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3</w:t>
        </w:r>
        <w:r w:rsidRPr="00915CBD">
          <w:rPr>
            <w:rFonts w:ascii="Helvetica" w:hAnsi="Helvetica"/>
            <w:b w:val="0"/>
            <w:bCs w:val="0"/>
            <w:noProof/>
            <w:webHidden/>
            <w:sz w:val="22"/>
            <w:szCs w:val="22"/>
          </w:rPr>
          <w:fldChar w:fldCharType="end"/>
        </w:r>
      </w:hyperlink>
    </w:p>
    <w:p w14:paraId="68C7519C" w14:textId="56AB2CC9"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3" w:history="1">
        <w:r w:rsidR="00915CBD" w:rsidRPr="00915CBD">
          <w:rPr>
            <w:rStyle w:val="Hipervnculo"/>
            <w:rFonts w:ascii="Helvetica" w:hAnsi="Helvetica"/>
            <w:b w:val="0"/>
            <w:bCs w:val="0"/>
            <w:noProof/>
            <w:sz w:val="22"/>
            <w:szCs w:val="22"/>
          </w:rPr>
          <w:t>1. El derecho de acceso a la justicia en casos de desaparición de personas</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_Toc52293193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4</w:t>
        </w:r>
        <w:r w:rsidR="00915CBD" w:rsidRPr="00915CBD">
          <w:rPr>
            <w:rFonts w:ascii="Helvetica" w:hAnsi="Helvetica"/>
            <w:b w:val="0"/>
            <w:bCs w:val="0"/>
            <w:noProof/>
            <w:webHidden/>
            <w:sz w:val="22"/>
            <w:szCs w:val="22"/>
          </w:rPr>
          <w:fldChar w:fldCharType="end"/>
        </w:r>
      </w:hyperlink>
    </w:p>
    <w:p w14:paraId="4192BF0A" w14:textId="723781B5"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4" w:history="1">
        <w:r w:rsidR="00915CBD" w:rsidRPr="00915CBD">
          <w:rPr>
            <w:rStyle w:val="Hipervnculo"/>
            <w:rFonts w:ascii="Helvetica" w:hAnsi="Helvetica"/>
            <w:b w:val="0"/>
            <w:bCs w:val="0"/>
            <w:noProof/>
            <w:sz w:val="22"/>
            <w:szCs w:val="22"/>
          </w:rPr>
          <w:t>2. Metodología</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_Toc52293194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8</w:t>
        </w:r>
        <w:r w:rsidR="00915CBD" w:rsidRPr="00915CBD">
          <w:rPr>
            <w:rFonts w:ascii="Helvetica" w:hAnsi="Helvetica"/>
            <w:b w:val="0"/>
            <w:bCs w:val="0"/>
            <w:noProof/>
            <w:webHidden/>
            <w:sz w:val="22"/>
            <w:szCs w:val="22"/>
          </w:rPr>
          <w:fldChar w:fldCharType="end"/>
        </w:r>
      </w:hyperlink>
    </w:p>
    <w:p w14:paraId="35B7B5A8" w14:textId="739E8563"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5" w:history="1">
        <w:r w:rsidR="00915CBD" w:rsidRPr="00915CBD">
          <w:rPr>
            <w:rStyle w:val="Hipervnculo"/>
            <w:rFonts w:ascii="Helvetica" w:hAnsi="Helvetica"/>
            <w:b w:val="0"/>
            <w:bCs w:val="0"/>
            <w:noProof/>
            <w:sz w:val="22"/>
            <w:szCs w:val="22"/>
          </w:rPr>
          <w:t>3. Datos generales sobre las sentencias: quién, por quién, dónde, cuando</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_Toc52293195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13</w:t>
        </w:r>
        <w:r w:rsidR="00915CBD" w:rsidRPr="00915CBD">
          <w:rPr>
            <w:rFonts w:ascii="Helvetica" w:hAnsi="Helvetica"/>
            <w:b w:val="0"/>
            <w:bCs w:val="0"/>
            <w:noProof/>
            <w:webHidden/>
            <w:sz w:val="22"/>
            <w:szCs w:val="22"/>
          </w:rPr>
          <w:fldChar w:fldCharType="end"/>
        </w:r>
      </w:hyperlink>
    </w:p>
    <w:p w14:paraId="63C0AB65" w14:textId="258B5099"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6" w:history="1">
        <w:r w:rsidR="00915CBD" w:rsidRPr="00915CBD">
          <w:rPr>
            <w:rStyle w:val="Hipervnculo"/>
            <w:rFonts w:ascii="Helvetica" w:hAnsi="Helvetica"/>
            <w:b w:val="0"/>
            <w:bCs w:val="0"/>
            <w:noProof/>
            <w:sz w:val="22"/>
            <w:szCs w:val="22"/>
          </w:rPr>
          <w:t>4. Los hechos y la aproximación a los casos</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_Toc52293196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20</w:t>
        </w:r>
        <w:r w:rsidR="00915CBD" w:rsidRPr="00915CBD">
          <w:rPr>
            <w:rFonts w:ascii="Helvetica" w:hAnsi="Helvetica"/>
            <w:b w:val="0"/>
            <w:bCs w:val="0"/>
            <w:noProof/>
            <w:webHidden/>
            <w:sz w:val="22"/>
            <w:szCs w:val="22"/>
          </w:rPr>
          <w:fldChar w:fldCharType="end"/>
        </w:r>
      </w:hyperlink>
    </w:p>
    <w:p w14:paraId="717C38D3" w14:textId="2C3F4C42"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7" w:history="1">
        <w:r w:rsidR="00915CBD" w:rsidRPr="00915CBD">
          <w:rPr>
            <w:rStyle w:val="Hipervnculo"/>
            <w:rFonts w:ascii="Helvetica" w:hAnsi="Helvetica"/>
            <w:b w:val="0"/>
            <w:bCs w:val="0"/>
            <w:noProof/>
            <w:sz w:val="22"/>
            <w:szCs w:val="22"/>
          </w:rPr>
          <w:t>5. La búsqueda de las personas desaparecidas y la reparación del daño</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_Toc52293197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27</w:t>
        </w:r>
        <w:r w:rsidR="00915CBD" w:rsidRPr="00915CBD">
          <w:rPr>
            <w:rFonts w:ascii="Helvetica" w:hAnsi="Helvetica"/>
            <w:b w:val="0"/>
            <w:bCs w:val="0"/>
            <w:noProof/>
            <w:webHidden/>
            <w:sz w:val="22"/>
            <w:szCs w:val="22"/>
          </w:rPr>
          <w:fldChar w:fldCharType="end"/>
        </w:r>
      </w:hyperlink>
    </w:p>
    <w:p w14:paraId="459CEF83" w14:textId="72608EC1"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8" w:history="1">
        <w:r w:rsidR="00915CBD" w:rsidRPr="00915CBD">
          <w:rPr>
            <w:rStyle w:val="Hipervnculo"/>
            <w:rFonts w:ascii="Helvetica" w:hAnsi="Helvetica"/>
            <w:b w:val="0"/>
            <w:bCs w:val="0"/>
            <w:noProof/>
            <w:sz w:val="22"/>
            <w:szCs w:val="22"/>
          </w:rPr>
          <w:t>6. La idea de la desaparición forzada en las sentencias</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_Toc52293198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31</w:t>
        </w:r>
        <w:r w:rsidR="00915CBD" w:rsidRPr="00915CBD">
          <w:rPr>
            <w:rFonts w:ascii="Helvetica" w:hAnsi="Helvetica"/>
            <w:b w:val="0"/>
            <w:bCs w:val="0"/>
            <w:noProof/>
            <w:webHidden/>
            <w:sz w:val="22"/>
            <w:szCs w:val="22"/>
          </w:rPr>
          <w:fldChar w:fldCharType="end"/>
        </w:r>
      </w:hyperlink>
    </w:p>
    <w:p w14:paraId="309D4DFB" w14:textId="125FB55A"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199" w:history="1">
        <w:r w:rsidR="00915CBD" w:rsidRPr="00915CBD">
          <w:rPr>
            <w:rStyle w:val="Hipervnculo"/>
            <w:rFonts w:ascii="Helvetica" w:hAnsi="Helvetica"/>
            <w:b w:val="0"/>
            <w:bCs w:val="0"/>
            <w:noProof/>
            <w:sz w:val="22"/>
            <w:szCs w:val="22"/>
          </w:rPr>
          <w:t>Conclusiones</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_Toc52293199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32</w:t>
        </w:r>
        <w:r w:rsidR="00915CBD" w:rsidRPr="00915CBD">
          <w:rPr>
            <w:rFonts w:ascii="Helvetica" w:hAnsi="Helvetica"/>
            <w:b w:val="0"/>
            <w:bCs w:val="0"/>
            <w:noProof/>
            <w:webHidden/>
            <w:sz w:val="22"/>
            <w:szCs w:val="22"/>
          </w:rPr>
          <w:fldChar w:fldCharType="end"/>
        </w:r>
      </w:hyperlink>
    </w:p>
    <w:p w14:paraId="1DC56469" w14:textId="09FD60FD"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200" w:history="1">
        <w:r w:rsidR="00915CBD" w:rsidRPr="00915CBD">
          <w:rPr>
            <w:rStyle w:val="Hipervnculo"/>
            <w:rFonts w:ascii="Helvetica" w:hAnsi="Helvetica"/>
            <w:b w:val="0"/>
            <w:bCs w:val="0"/>
            <w:noProof/>
            <w:sz w:val="22"/>
            <w:szCs w:val="22"/>
          </w:rPr>
          <w:t>Bibliografía</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_Toc52293200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36</w:t>
        </w:r>
        <w:r w:rsidR="00915CBD" w:rsidRPr="00915CBD">
          <w:rPr>
            <w:rFonts w:ascii="Helvetica" w:hAnsi="Helvetica"/>
            <w:b w:val="0"/>
            <w:bCs w:val="0"/>
            <w:noProof/>
            <w:webHidden/>
            <w:sz w:val="22"/>
            <w:szCs w:val="22"/>
          </w:rPr>
          <w:fldChar w:fldCharType="end"/>
        </w:r>
      </w:hyperlink>
    </w:p>
    <w:p w14:paraId="38A9DBE6" w14:textId="3D9F01B1"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201" w:history="1">
        <w:r w:rsidR="00915CBD" w:rsidRPr="00915CBD">
          <w:rPr>
            <w:rStyle w:val="Hipervnculo"/>
            <w:rFonts w:ascii="Helvetica" w:hAnsi="Helvetica"/>
            <w:b w:val="0"/>
            <w:bCs w:val="0"/>
            <w:noProof/>
            <w:sz w:val="22"/>
            <w:szCs w:val="22"/>
          </w:rPr>
          <w:t>Anexo 1. Sentencias analizadas.</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_Toc52293201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37</w:t>
        </w:r>
        <w:r w:rsidR="00915CBD" w:rsidRPr="00915CBD">
          <w:rPr>
            <w:rFonts w:ascii="Helvetica" w:hAnsi="Helvetica"/>
            <w:b w:val="0"/>
            <w:bCs w:val="0"/>
            <w:noProof/>
            <w:webHidden/>
            <w:sz w:val="22"/>
            <w:szCs w:val="22"/>
          </w:rPr>
          <w:fldChar w:fldCharType="end"/>
        </w:r>
      </w:hyperlink>
    </w:p>
    <w:p w14:paraId="6765D288" w14:textId="03B4AC92"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202" w:history="1">
        <w:r w:rsidR="00915CBD" w:rsidRPr="00915CBD">
          <w:rPr>
            <w:rStyle w:val="Hipervnculo"/>
            <w:rFonts w:ascii="Helvetica" w:hAnsi="Helvetica"/>
            <w:b w:val="0"/>
            <w:bCs w:val="0"/>
            <w:noProof/>
            <w:sz w:val="22"/>
            <w:szCs w:val="22"/>
          </w:rPr>
          <w:t>Anexo 2. Agentes estatales acusados del delito de desaparición forzada</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_Toc52293202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40</w:t>
        </w:r>
        <w:r w:rsidR="00915CBD" w:rsidRPr="00915CBD">
          <w:rPr>
            <w:rFonts w:ascii="Helvetica" w:hAnsi="Helvetica"/>
            <w:b w:val="0"/>
            <w:bCs w:val="0"/>
            <w:noProof/>
            <w:webHidden/>
            <w:sz w:val="22"/>
            <w:szCs w:val="22"/>
          </w:rPr>
          <w:fldChar w:fldCharType="end"/>
        </w:r>
      </w:hyperlink>
    </w:p>
    <w:p w14:paraId="484A8C4A" w14:textId="41BA4796" w:rsidR="00915CBD" w:rsidRPr="00915CBD" w:rsidRDefault="00E9287A">
      <w:pPr>
        <w:pStyle w:val="TDC1"/>
        <w:tabs>
          <w:tab w:val="right" w:leader="underscore" w:pos="8828"/>
        </w:tabs>
        <w:rPr>
          <w:rFonts w:ascii="Helvetica" w:eastAsiaTheme="minorEastAsia" w:hAnsi="Helvetica" w:cstheme="minorBidi"/>
          <w:b w:val="0"/>
          <w:bCs w:val="0"/>
          <w:i w:val="0"/>
          <w:iCs w:val="0"/>
          <w:noProof/>
          <w:sz w:val="22"/>
          <w:szCs w:val="22"/>
        </w:rPr>
      </w:pPr>
      <w:hyperlink w:anchor="_Toc52293203" w:history="1">
        <w:r w:rsidR="00915CBD" w:rsidRPr="00915CBD">
          <w:rPr>
            <w:rStyle w:val="Hipervnculo"/>
            <w:rFonts w:ascii="Helvetica" w:hAnsi="Helvetica"/>
            <w:b w:val="0"/>
            <w:bCs w:val="0"/>
            <w:noProof/>
            <w:sz w:val="22"/>
            <w:szCs w:val="22"/>
          </w:rPr>
          <w:t>Anexo 3. Sentencias con persona desaparecida y órdenes de búsqueda</w:t>
        </w:r>
        <w:r w:rsidR="00915CBD" w:rsidRPr="00915CBD">
          <w:rPr>
            <w:rFonts w:ascii="Helvetica" w:hAnsi="Helvetica"/>
            <w:b w:val="0"/>
            <w:bCs w:val="0"/>
            <w:noProof/>
            <w:webHidden/>
            <w:sz w:val="22"/>
            <w:szCs w:val="22"/>
          </w:rPr>
          <w:tab/>
        </w:r>
        <w:r w:rsidR="00915CBD" w:rsidRPr="00915CBD">
          <w:rPr>
            <w:rFonts w:ascii="Helvetica" w:hAnsi="Helvetica"/>
            <w:b w:val="0"/>
            <w:bCs w:val="0"/>
            <w:noProof/>
            <w:webHidden/>
            <w:sz w:val="22"/>
            <w:szCs w:val="22"/>
          </w:rPr>
          <w:fldChar w:fldCharType="begin"/>
        </w:r>
        <w:r w:rsidR="00915CBD" w:rsidRPr="00915CBD">
          <w:rPr>
            <w:rFonts w:ascii="Helvetica" w:hAnsi="Helvetica"/>
            <w:b w:val="0"/>
            <w:bCs w:val="0"/>
            <w:noProof/>
            <w:webHidden/>
            <w:sz w:val="22"/>
            <w:szCs w:val="22"/>
          </w:rPr>
          <w:instrText xml:space="preserve"> PAGEREF _Toc52293203 \h </w:instrText>
        </w:r>
        <w:r w:rsidR="00915CBD" w:rsidRPr="00915CBD">
          <w:rPr>
            <w:rFonts w:ascii="Helvetica" w:hAnsi="Helvetica"/>
            <w:b w:val="0"/>
            <w:bCs w:val="0"/>
            <w:noProof/>
            <w:webHidden/>
            <w:sz w:val="22"/>
            <w:szCs w:val="22"/>
          </w:rPr>
        </w:r>
        <w:r w:rsidR="00915CBD" w:rsidRPr="00915CBD">
          <w:rPr>
            <w:rFonts w:ascii="Helvetica" w:hAnsi="Helvetica"/>
            <w:b w:val="0"/>
            <w:bCs w:val="0"/>
            <w:noProof/>
            <w:webHidden/>
            <w:sz w:val="22"/>
            <w:szCs w:val="22"/>
          </w:rPr>
          <w:fldChar w:fldCharType="separate"/>
        </w:r>
        <w:r w:rsidR="00412E00">
          <w:rPr>
            <w:rFonts w:ascii="Helvetica" w:hAnsi="Helvetica"/>
            <w:b w:val="0"/>
            <w:bCs w:val="0"/>
            <w:noProof/>
            <w:webHidden/>
            <w:sz w:val="22"/>
            <w:szCs w:val="22"/>
          </w:rPr>
          <w:t>41</w:t>
        </w:r>
        <w:r w:rsidR="00915CBD" w:rsidRPr="00915CBD">
          <w:rPr>
            <w:rFonts w:ascii="Helvetica" w:hAnsi="Helvetica"/>
            <w:b w:val="0"/>
            <w:bCs w:val="0"/>
            <w:noProof/>
            <w:webHidden/>
            <w:sz w:val="22"/>
            <w:szCs w:val="22"/>
          </w:rPr>
          <w:fldChar w:fldCharType="end"/>
        </w:r>
      </w:hyperlink>
    </w:p>
    <w:p w14:paraId="263E2127" w14:textId="148A5549" w:rsidR="00915CBD" w:rsidRDefault="00915CBD" w:rsidP="00126794">
      <w:pPr>
        <w:spacing w:line="360" w:lineRule="auto"/>
        <w:rPr>
          <w:rFonts w:ascii="Helvetica" w:hAnsi="Helvetica"/>
          <w:b/>
          <w:bCs/>
          <w:sz w:val="22"/>
          <w:szCs w:val="22"/>
          <w:lang w:val="es-ES"/>
        </w:rPr>
      </w:pPr>
      <w:r w:rsidRPr="00915CBD">
        <w:rPr>
          <w:rFonts w:ascii="Helvetica" w:hAnsi="Helvetica"/>
          <w:sz w:val="22"/>
          <w:szCs w:val="22"/>
          <w:lang w:val="es-ES"/>
        </w:rPr>
        <w:fldChar w:fldCharType="end"/>
      </w:r>
    </w:p>
    <w:p w14:paraId="19F68393" w14:textId="15D2FE0C" w:rsidR="00915CBD" w:rsidRDefault="00915CBD" w:rsidP="00126794">
      <w:pPr>
        <w:spacing w:line="360" w:lineRule="auto"/>
        <w:rPr>
          <w:rFonts w:ascii="Helvetica" w:hAnsi="Helvetica"/>
          <w:b/>
          <w:bCs/>
          <w:sz w:val="22"/>
          <w:szCs w:val="22"/>
          <w:lang w:val="es-ES"/>
        </w:rPr>
      </w:pPr>
      <w:r>
        <w:rPr>
          <w:rFonts w:ascii="Helvetica" w:hAnsi="Helvetica"/>
          <w:b/>
          <w:bCs/>
          <w:sz w:val="22"/>
          <w:szCs w:val="22"/>
          <w:lang w:val="es-ES"/>
        </w:rPr>
        <w:t>Índice de tablas</w:t>
      </w:r>
    </w:p>
    <w:p w14:paraId="0802CE7C" w14:textId="56A0C5E0" w:rsidR="00915CBD" w:rsidRPr="00915CBD" w:rsidRDefault="00915CBD">
      <w:pPr>
        <w:pStyle w:val="Tabladeilustraciones"/>
        <w:tabs>
          <w:tab w:val="right" w:leader="underscore" w:pos="8828"/>
        </w:tabs>
        <w:rPr>
          <w:rFonts w:ascii="Helvetica" w:eastAsiaTheme="minorEastAsia" w:hAnsi="Helvetica" w:cstheme="minorBidi"/>
          <w:i w:val="0"/>
          <w:iCs w:val="0"/>
          <w:noProof/>
          <w:sz w:val="21"/>
          <w:szCs w:val="21"/>
        </w:rPr>
      </w:pPr>
      <w:r w:rsidRPr="00915CBD">
        <w:rPr>
          <w:rFonts w:ascii="Helvetica" w:hAnsi="Helvetica"/>
          <w:b/>
          <w:bCs/>
          <w:sz w:val="22"/>
          <w:szCs w:val="22"/>
          <w:lang w:val="es-ES"/>
        </w:rPr>
        <w:fldChar w:fldCharType="begin"/>
      </w:r>
      <w:r w:rsidRPr="00915CBD">
        <w:rPr>
          <w:rFonts w:ascii="Helvetica" w:hAnsi="Helvetica"/>
          <w:b/>
          <w:bCs/>
          <w:sz w:val="22"/>
          <w:szCs w:val="22"/>
          <w:lang w:val="es-ES"/>
        </w:rPr>
        <w:instrText xml:space="preserve"> TOC \h \z \t "Descripción" \c </w:instrText>
      </w:r>
      <w:r w:rsidRPr="00915CBD">
        <w:rPr>
          <w:rFonts w:ascii="Helvetica" w:hAnsi="Helvetica"/>
          <w:b/>
          <w:bCs/>
          <w:sz w:val="22"/>
          <w:szCs w:val="22"/>
          <w:lang w:val="es-ES"/>
        </w:rPr>
        <w:fldChar w:fldCharType="separate"/>
      </w:r>
      <w:hyperlink w:anchor="_Toc52293239" w:history="1">
        <w:r w:rsidRPr="00915CBD">
          <w:rPr>
            <w:rStyle w:val="Hipervnculo"/>
            <w:rFonts w:ascii="Helvetica" w:hAnsi="Helvetica"/>
            <w:noProof/>
            <w:sz w:val="21"/>
            <w:szCs w:val="21"/>
          </w:rPr>
          <w:t>Tabla 1. Obligaciones del derecho de acceso a la justicia</w:t>
        </w:r>
        <w:r w:rsidRPr="00915CBD">
          <w:rPr>
            <w:rFonts w:ascii="Helvetica" w:hAnsi="Helvetica"/>
            <w:noProof/>
            <w:webHidden/>
            <w:sz w:val="21"/>
            <w:szCs w:val="21"/>
          </w:rPr>
          <w:tab/>
        </w:r>
        <w:r w:rsidRPr="00915CBD">
          <w:rPr>
            <w:rFonts w:ascii="Helvetica" w:hAnsi="Helvetica"/>
            <w:noProof/>
            <w:webHidden/>
            <w:sz w:val="21"/>
            <w:szCs w:val="21"/>
          </w:rPr>
          <w:fldChar w:fldCharType="begin"/>
        </w:r>
        <w:r w:rsidRPr="00915CBD">
          <w:rPr>
            <w:rFonts w:ascii="Helvetica" w:hAnsi="Helvetica"/>
            <w:noProof/>
            <w:webHidden/>
            <w:sz w:val="21"/>
            <w:szCs w:val="21"/>
          </w:rPr>
          <w:instrText xml:space="preserve"> PAGEREF _Toc52293239 \h </w:instrText>
        </w:r>
        <w:r w:rsidRPr="00915CBD">
          <w:rPr>
            <w:rFonts w:ascii="Helvetica" w:hAnsi="Helvetica"/>
            <w:noProof/>
            <w:webHidden/>
            <w:sz w:val="21"/>
            <w:szCs w:val="21"/>
          </w:rPr>
        </w:r>
        <w:r w:rsidRPr="00915CBD">
          <w:rPr>
            <w:rFonts w:ascii="Helvetica" w:hAnsi="Helvetica"/>
            <w:noProof/>
            <w:webHidden/>
            <w:sz w:val="21"/>
            <w:szCs w:val="21"/>
          </w:rPr>
          <w:fldChar w:fldCharType="separate"/>
        </w:r>
        <w:r w:rsidR="00412E00">
          <w:rPr>
            <w:rFonts w:ascii="Helvetica" w:hAnsi="Helvetica"/>
            <w:noProof/>
            <w:webHidden/>
            <w:sz w:val="21"/>
            <w:szCs w:val="21"/>
          </w:rPr>
          <w:t>8</w:t>
        </w:r>
        <w:r w:rsidRPr="00915CBD">
          <w:rPr>
            <w:rFonts w:ascii="Helvetica" w:hAnsi="Helvetica"/>
            <w:noProof/>
            <w:webHidden/>
            <w:sz w:val="21"/>
            <w:szCs w:val="21"/>
          </w:rPr>
          <w:fldChar w:fldCharType="end"/>
        </w:r>
      </w:hyperlink>
    </w:p>
    <w:p w14:paraId="6EB817B4" w14:textId="76123158"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240" w:history="1">
        <w:r w:rsidR="00915CBD" w:rsidRPr="00915CBD">
          <w:rPr>
            <w:rStyle w:val="Hipervnculo"/>
            <w:rFonts w:ascii="Helvetica" w:hAnsi="Helvetica"/>
            <w:noProof/>
            <w:sz w:val="21"/>
            <w:szCs w:val="21"/>
          </w:rPr>
          <w:t>Tabla 2. Indicadores del derecho de acceso a la justicia</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_Toc52293240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11</w:t>
        </w:r>
        <w:r w:rsidR="00915CBD" w:rsidRPr="00915CBD">
          <w:rPr>
            <w:rFonts w:ascii="Helvetica" w:hAnsi="Helvetica"/>
            <w:noProof/>
            <w:webHidden/>
            <w:sz w:val="21"/>
            <w:szCs w:val="21"/>
          </w:rPr>
          <w:fldChar w:fldCharType="end"/>
        </w:r>
      </w:hyperlink>
    </w:p>
    <w:p w14:paraId="1349D34E" w14:textId="33F2EE82" w:rsidR="00915CBD" w:rsidRPr="00915CBD" w:rsidRDefault="00E9287A">
      <w:pPr>
        <w:pStyle w:val="Tabladeilustraciones"/>
        <w:tabs>
          <w:tab w:val="right" w:leader="underscore" w:pos="8828"/>
        </w:tabs>
        <w:rPr>
          <w:rFonts w:ascii="Helvetica" w:eastAsiaTheme="minorEastAsia" w:hAnsi="Helvetica" w:cstheme="minorBidi"/>
          <w:i w:val="0"/>
          <w:iCs w:val="0"/>
          <w:noProof/>
          <w:sz w:val="22"/>
          <w:szCs w:val="22"/>
        </w:rPr>
      </w:pPr>
      <w:hyperlink w:anchor="_Toc52293247" w:history="1">
        <w:r w:rsidR="00915CBD" w:rsidRPr="00915CBD">
          <w:rPr>
            <w:rStyle w:val="Hipervnculo"/>
            <w:rFonts w:ascii="Helvetica" w:hAnsi="Helvetica"/>
            <w:noProof/>
            <w:sz w:val="21"/>
            <w:szCs w:val="21"/>
          </w:rPr>
          <w:t>Tabla 3. Acusados: particulares o grupo criminal</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_Toc52293247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19</w:t>
        </w:r>
        <w:r w:rsidR="00915CBD" w:rsidRPr="00915CBD">
          <w:rPr>
            <w:rFonts w:ascii="Helvetica" w:hAnsi="Helvetica"/>
            <w:noProof/>
            <w:webHidden/>
            <w:sz w:val="21"/>
            <w:szCs w:val="21"/>
          </w:rPr>
          <w:fldChar w:fldCharType="end"/>
        </w:r>
      </w:hyperlink>
    </w:p>
    <w:p w14:paraId="34FB61DC" w14:textId="5A68DCB0" w:rsidR="00915CBD" w:rsidRDefault="00915CBD" w:rsidP="00126794">
      <w:pPr>
        <w:spacing w:line="360" w:lineRule="auto"/>
        <w:rPr>
          <w:rFonts w:ascii="Helvetica" w:hAnsi="Helvetica"/>
          <w:b/>
          <w:bCs/>
          <w:sz w:val="22"/>
          <w:szCs w:val="22"/>
          <w:lang w:val="es-ES"/>
        </w:rPr>
      </w:pPr>
      <w:r w:rsidRPr="00915CBD">
        <w:rPr>
          <w:rFonts w:ascii="Helvetica" w:hAnsi="Helvetica"/>
          <w:b/>
          <w:bCs/>
          <w:sz w:val="22"/>
          <w:szCs w:val="22"/>
          <w:lang w:val="es-ES"/>
        </w:rPr>
        <w:fldChar w:fldCharType="end"/>
      </w:r>
    </w:p>
    <w:p w14:paraId="03E72CF9" w14:textId="603D365E" w:rsidR="00915CBD" w:rsidRDefault="00915CBD" w:rsidP="00126794">
      <w:pPr>
        <w:spacing w:line="360" w:lineRule="auto"/>
        <w:rPr>
          <w:rFonts w:ascii="Helvetica" w:hAnsi="Helvetica"/>
          <w:b/>
          <w:bCs/>
          <w:sz w:val="22"/>
          <w:szCs w:val="22"/>
          <w:lang w:val="es-ES"/>
        </w:rPr>
      </w:pPr>
      <w:r>
        <w:rPr>
          <w:rFonts w:ascii="Helvetica" w:hAnsi="Helvetica"/>
          <w:b/>
          <w:bCs/>
          <w:sz w:val="22"/>
          <w:szCs w:val="22"/>
          <w:lang w:val="es-ES"/>
        </w:rPr>
        <w:t>Índice de mapas y gráficas</w:t>
      </w:r>
    </w:p>
    <w:p w14:paraId="6C18A932" w14:textId="3B403AAE" w:rsidR="00915CBD" w:rsidRPr="00915CBD" w:rsidRDefault="00915CBD">
      <w:pPr>
        <w:pStyle w:val="Tabladeilustraciones"/>
        <w:tabs>
          <w:tab w:val="right" w:leader="underscore" w:pos="8828"/>
        </w:tabs>
        <w:rPr>
          <w:rFonts w:ascii="Helvetica" w:eastAsiaTheme="minorEastAsia" w:hAnsi="Helvetica" w:cstheme="minorBidi"/>
          <w:i w:val="0"/>
          <w:iCs w:val="0"/>
          <w:noProof/>
          <w:sz w:val="21"/>
          <w:szCs w:val="21"/>
        </w:rPr>
      </w:pPr>
      <w:r w:rsidRPr="00915CBD">
        <w:rPr>
          <w:rFonts w:ascii="Helvetica" w:hAnsi="Helvetica"/>
          <w:b/>
          <w:bCs/>
          <w:sz w:val="21"/>
          <w:szCs w:val="21"/>
        </w:rPr>
        <w:fldChar w:fldCharType="begin"/>
      </w:r>
      <w:r w:rsidRPr="00915CBD">
        <w:rPr>
          <w:rFonts w:ascii="Helvetica" w:hAnsi="Helvetica"/>
          <w:b/>
          <w:bCs/>
          <w:sz w:val="21"/>
          <w:szCs w:val="21"/>
        </w:rPr>
        <w:instrText xml:space="preserve"> TOC \h \z \t "Descripción" \c </w:instrText>
      </w:r>
      <w:r w:rsidRPr="00915CBD">
        <w:rPr>
          <w:rFonts w:ascii="Helvetica" w:hAnsi="Helvetica"/>
          <w:b/>
          <w:bCs/>
          <w:sz w:val="21"/>
          <w:szCs w:val="21"/>
        </w:rPr>
        <w:fldChar w:fldCharType="separate"/>
      </w:r>
    </w:p>
    <w:p w14:paraId="259F1347" w14:textId="1054E501"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317" w:history="1">
        <w:r w:rsidR="00915CBD" w:rsidRPr="00915CBD">
          <w:rPr>
            <w:rStyle w:val="Hipervnculo"/>
            <w:rFonts w:ascii="Helvetica" w:hAnsi="Helvetica"/>
            <w:noProof/>
            <w:sz w:val="21"/>
            <w:szCs w:val="21"/>
          </w:rPr>
          <w:t>Mapa 1. Sentencias por entidad de los hechos</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_Toc52293317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13</w:t>
        </w:r>
        <w:r w:rsidR="00915CBD" w:rsidRPr="00915CBD">
          <w:rPr>
            <w:rFonts w:ascii="Helvetica" w:hAnsi="Helvetica"/>
            <w:noProof/>
            <w:webHidden/>
            <w:sz w:val="21"/>
            <w:szCs w:val="21"/>
          </w:rPr>
          <w:fldChar w:fldCharType="end"/>
        </w:r>
      </w:hyperlink>
    </w:p>
    <w:p w14:paraId="62B34695" w14:textId="5AECA56F"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318" w:history="1">
        <w:r w:rsidR="00915CBD" w:rsidRPr="00915CBD">
          <w:rPr>
            <w:rStyle w:val="Hipervnculo"/>
            <w:rFonts w:ascii="Helvetica" w:hAnsi="Helvetica"/>
            <w:noProof/>
            <w:sz w:val="21"/>
            <w:szCs w:val="21"/>
          </w:rPr>
          <w:t>Gráfica 1. Sentencias por fuero federal o local</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_Toc52293318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14</w:t>
        </w:r>
        <w:r w:rsidR="00915CBD" w:rsidRPr="00915CBD">
          <w:rPr>
            <w:rFonts w:ascii="Helvetica" w:hAnsi="Helvetica"/>
            <w:noProof/>
            <w:webHidden/>
            <w:sz w:val="21"/>
            <w:szCs w:val="21"/>
          </w:rPr>
          <w:fldChar w:fldCharType="end"/>
        </w:r>
      </w:hyperlink>
    </w:p>
    <w:p w14:paraId="12A7C063" w14:textId="1DE46D8F"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319" w:history="1">
        <w:r w:rsidR="00915CBD" w:rsidRPr="00915CBD">
          <w:rPr>
            <w:rStyle w:val="Hipervnculo"/>
            <w:rFonts w:ascii="Helvetica" w:hAnsi="Helvetica"/>
            <w:noProof/>
            <w:sz w:val="21"/>
            <w:szCs w:val="21"/>
          </w:rPr>
          <w:t>Gráfica 2. Condenas por fuero (porcentaje)</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_Toc52293319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15</w:t>
        </w:r>
        <w:r w:rsidR="00915CBD" w:rsidRPr="00915CBD">
          <w:rPr>
            <w:rFonts w:ascii="Helvetica" w:hAnsi="Helvetica"/>
            <w:noProof/>
            <w:webHidden/>
            <w:sz w:val="21"/>
            <w:szCs w:val="21"/>
          </w:rPr>
          <w:fldChar w:fldCharType="end"/>
        </w:r>
      </w:hyperlink>
    </w:p>
    <w:p w14:paraId="488C4BEA" w14:textId="178313F0"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320" w:history="1">
        <w:r w:rsidR="00915CBD" w:rsidRPr="00915CBD">
          <w:rPr>
            <w:rStyle w:val="Hipervnculo"/>
            <w:rFonts w:ascii="Helvetica" w:hAnsi="Helvetica"/>
            <w:noProof/>
            <w:sz w:val="21"/>
            <w:szCs w:val="21"/>
          </w:rPr>
          <w:t>Gráfica 3. Días entre los hechos y la sentencia</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_Toc52293320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16</w:t>
        </w:r>
        <w:r w:rsidR="00915CBD" w:rsidRPr="00915CBD">
          <w:rPr>
            <w:rFonts w:ascii="Helvetica" w:hAnsi="Helvetica"/>
            <w:noProof/>
            <w:webHidden/>
            <w:sz w:val="21"/>
            <w:szCs w:val="21"/>
          </w:rPr>
          <w:fldChar w:fldCharType="end"/>
        </w:r>
      </w:hyperlink>
    </w:p>
    <w:p w14:paraId="49492174" w14:textId="6096928B"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321" w:history="1">
        <w:r w:rsidR="00915CBD" w:rsidRPr="00915CBD">
          <w:rPr>
            <w:rStyle w:val="Hipervnculo"/>
            <w:rFonts w:ascii="Helvetica" w:hAnsi="Helvetica"/>
            <w:noProof/>
            <w:sz w:val="21"/>
            <w:szCs w:val="21"/>
          </w:rPr>
          <w:t>Gráfica 4. Acusados: agentes estatales</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_Toc52293321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17</w:t>
        </w:r>
        <w:r w:rsidR="00915CBD" w:rsidRPr="00915CBD">
          <w:rPr>
            <w:rFonts w:ascii="Helvetica" w:hAnsi="Helvetica"/>
            <w:noProof/>
            <w:webHidden/>
            <w:sz w:val="21"/>
            <w:szCs w:val="21"/>
          </w:rPr>
          <w:fldChar w:fldCharType="end"/>
        </w:r>
      </w:hyperlink>
    </w:p>
    <w:p w14:paraId="159549FE" w14:textId="3F3C9B4C" w:rsidR="00915CBD" w:rsidRPr="00915CBD" w:rsidRDefault="00E9287A">
      <w:pPr>
        <w:pStyle w:val="Tabladeilustraciones"/>
        <w:tabs>
          <w:tab w:val="right" w:leader="underscore" w:pos="8828"/>
        </w:tabs>
        <w:rPr>
          <w:rFonts w:ascii="Helvetica" w:eastAsiaTheme="minorEastAsia" w:hAnsi="Helvetica" w:cstheme="minorBidi"/>
          <w:i w:val="0"/>
          <w:iCs w:val="0"/>
          <w:noProof/>
          <w:sz w:val="21"/>
          <w:szCs w:val="21"/>
        </w:rPr>
      </w:pPr>
      <w:hyperlink w:anchor="_Toc52293322" w:history="1">
        <w:r w:rsidR="00915CBD" w:rsidRPr="00915CBD">
          <w:rPr>
            <w:rStyle w:val="Hipervnculo"/>
            <w:rFonts w:ascii="Helvetica" w:hAnsi="Helvetica"/>
            <w:noProof/>
            <w:sz w:val="21"/>
            <w:szCs w:val="21"/>
          </w:rPr>
          <w:t>Gráfica 5. Condenas de prisión por tipo de agente de autoridad</w:t>
        </w:r>
        <w:r w:rsidR="00915CBD" w:rsidRPr="00915CBD">
          <w:rPr>
            <w:rFonts w:ascii="Helvetica" w:hAnsi="Helvetica"/>
            <w:noProof/>
            <w:webHidden/>
            <w:sz w:val="21"/>
            <w:szCs w:val="21"/>
          </w:rPr>
          <w:tab/>
        </w:r>
        <w:r w:rsidR="00915CBD" w:rsidRPr="00915CBD">
          <w:rPr>
            <w:rFonts w:ascii="Helvetica" w:hAnsi="Helvetica"/>
            <w:noProof/>
            <w:webHidden/>
            <w:sz w:val="21"/>
            <w:szCs w:val="21"/>
          </w:rPr>
          <w:fldChar w:fldCharType="begin"/>
        </w:r>
        <w:r w:rsidR="00915CBD" w:rsidRPr="00915CBD">
          <w:rPr>
            <w:rFonts w:ascii="Helvetica" w:hAnsi="Helvetica"/>
            <w:noProof/>
            <w:webHidden/>
            <w:sz w:val="21"/>
            <w:szCs w:val="21"/>
          </w:rPr>
          <w:instrText xml:space="preserve"> PAGEREF _Toc52293322 \h </w:instrText>
        </w:r>
        <w:r w:rsidR="00915CBD" w:rsidRPr="00915CBD">
          <w:rPr>
            <w:rFonts w:ascii="Helvetica" w:hAnsi="Helvetica"/>
            <w:noProof/>
            <w:webHidden/>
            <w:sz w:val="21"/>
            <w:szCs w:val="21"/>
          </w:rPr>
        </w:r>
        <w:r w:rsidR="00915CBD" w:rsidRPr="00915CBD">
          <w:rPr>
            <w:rFonts w:ascii="Helvetica" w:hAnsi="Helvetica"/>
            <w:noProof/>
            <w:webHidden/>
            <w:sz w:val="21"/>
            <w:szCs w:val="21"/>
          </w:rPr>
          <w:fldChar w:fldCharType="separate"/>
        </w:r>
        <w:r w:rsidR="00412E00">
          <w:rPr>
            <w:rFonts w:ascii="Helvetica" w:hAnsi="Helvetica"/>
            <w:noProof/>
            <w:webHidden/>
            <w:sz w:val="21"/>
            <w:szCs w:val="21"/>
          </w:rPr>
          <w:t>18</w:t>
        </w:r>
        <w:r w:rsidR="00915CBD" w:rsidRPr="00915CBD">
          <w:rPr>
            <w:rFonts w:ascii="Helvetica" w:hAnsi="Helvetica"/>
            <w:noProof/>
            <w:webHidden/>
            <w:sz w:val="21"/>
            <w:szCs w:val="21"/>
          </w:rPr>
          <w:fldChar w:fldCharType="end"/>
        </w:r>
      </w:hyperlink>
    </w:p>
    <w:p w14:paraId="40686C0C" w14:textId="25C47E21" w:rsidR="0086506B" w:rsidRPr="00915CBD" w:rsidRDefault="00915CBD" w:rsidP="00126794">
      <w:pPr>
        <w:spacing w:line="360" w:lineRule="auto"/>
        <w:rPr>
          <w:rFonts w:ascii="Helvetica" w:hAnsi="Helvetica"/>
          <w:b/>
          <w:bCs/>
          <w:sz w:val="22"/>
          <w:szCs w:val="22"/>
        </w:rPr>
      </w:pPr>
      <w:r w:rsidRPr="00915CBD">
        <w:rPr>
          <w:rFonts w:ascii="Helvetica" w:hAnsi="Helvetica"/>
          <w:b/>
          <w:bCs/>
          <w:sz w:val="21"/>
          <w:szCs w:val="21"/>
        </w:rPr>
        <w:fldChar w:fldCharType="end"/>
      </w:r>
    </w:p>
    <w:p w14:paraId="3EA2553E" w14:textId="77777777" w:rsidR="00F203E7" w:rsidRDefault="00F203E7">
      <w:pPr>
        <w:rPr>
          <w:rFonts w:ascii="Helvetica" w:hAnsi="Helvetica"/>
          <w:b/>
          <w:bCs/>
          <w:sz w:val="22"/>
          <w:szCs w:val="22"/>
          <w:lang w:val="es-ES"/>
        </w:rPr>
      </w:pPr>
      <w:r>
        <w:br w:type="page"/>
      </w:r>
    </w:p>
    <w:p w14:paraId="4F451C44" w14:textId="603A7B8A" w:rsidR="00876CAD" w:rsidRPr="00B307A6" w:rsidRDefault="00876CAD" w:rsidP="000E00CA">
      <w:pPr>
        <w:pStyle w:val="Ttulo1"/>
      </w:pPr>
      <w:bookmarkStart w:id="0" w:name="_Toc52293192"/>
      <w:r w:rsidRPr="00B307A6">
        <w:lastRenderedPageBreak/>
        <w:t>Introducción</w:t>
      </w:r>
      <w:bookmarkEnd w:id="0"/>
    </w:p>
    <w:p w14:paraId="295A424F" w14:textId="56ED6BF0" w:rsidR="00F91BEF" w:rsidRDefault="0007716D" w:rsidP="00C50349">
      <w:pPr>
        <w:spacing w:before="240" w:line="360" w:lineRule="auto"/>
        <w:jc w:val="both"/>
        <w:rPr>
          <w:rFonts w:ascii="Helvetica" w:hAnsi="Helvetica"/>
          <w:sz w:val="22"/>
          <w:szCs w:val="22"/>
          <w:lang w:val="es-ES"/>
        </w:rPr>
      </w:pPr>
      <w:r>
        <w:rPr>
          <w:rFonts w:ascii="Helvetica" w:hAnsi="Helvetica"/>
          <w:sz w:val="22"/>
          <w:szCs w:val="22"/>
          <w:lang w:val="es-ES"/>
        </w:rPr>
        <w:t>Este informe tiene por objetivo analizar un conjunto de sentencias por el delito de desaparición forzada o forzosa de personas emitidas por la justicia penal en los fueros federal y local a fin de ide</w:t>
      </w:r>
      <w:r w:rsidR="00C50349">
        <w:rPr>
          <w:rFonts w:ascii="Helvetica" w:hAnsi="Helvetica"/>
          <w:sz w:val="22"/>
          <w:szCs w:val="22"/>
          <w:lang w:val="es-ES"/>
        </w:rPr>
        <w:t xml:space="preserve">ntificar la forma en que cumplen o se alejan de los estándares del </w:t>
      </w:r>
      <w:r w:rsidR="00C50349" w:rsidRPr="00C50349">
        <w:rPr>
          <w:rFonts w:ascii="Helvetica" w:hAnsi="Helvetica"/>
          <w:sz w:val="22"/>
          <w:szCs w:val="22"/>
          <w:lang w:val="es-ES_tradnl"/>
        </w:rPr>
        <w:t>derecho</w:t>
      </w:r>
      <w:r w:rsidR="00C50349">
        <w:rPr>
          <w:rFonts w:ascii="Helvetica" w:hAnsi="Helvetica"/>
          <w:sz w:val="22"/>
          <w:szCs w:val="22"/>
          <w:lang w:val="es-ES"/>
        </w:rPr>
        <w:t xml:space="preserve"> de acceso a la justicia de las víctimas y sus familias para este delito. Este informe hace parte de un estudio más amplio del Observatorio sobre Desaparición e Impunidad en México para caracterizar las respuestas estatales frente a la desaparición de personas en el país. El objetivo del conjunto de informes -que incluyen un análisis de las fiscalías</w:t>
      </w:r>
      <w:r w:rsidR="00F23B8D">
        <w:rPr>
          <w:rFonts w:ascii="Helvetica" w:hAnsi="Helvetica"/>
          <w:sz w:val="22"/>
          <w:szCs w:val="22"/>
          <w:lang w:val="es-ES"/>
        </w:rPr>
        <w:t>,</w:t>
      </w:r>
      <w:r w:rsidR="00C50349">
        <w:rPr>
          <w:rFonts w:ascii="Helvetica" w:hAnsi="Helvetica"/>
          <w:sz w:val="22"/>
          <w:szCs w:val="22"/>
          <w:lang w:val="es-ES"/>
        </w:rPr>
        <w:t xml:space="preserve"> de las comisiones de búsqueda</w:t>
      </w:r>
      <w:r w:rsidR="00F23B8D">
        <w:rPr>
          <w:rFonts w:ascii="Helvetica" w:hAnsi="Helvetica"/>
          <w:sz w:val="22"/>
          <w:szCs w:val="22"/>
          <w:lang w:val="es-ES"/>
        </w:rPr>
        <w:t xml:space="preserve"> y de las políticas de información pública sobre el tema de desapariciones</w:t>
      </w:r>
      <w:r w:rsidR="00C50349">
        <w:rPr>
          <w:rFonts w:ascii="Helvetica" w:hAnsi="Helvetica"/>
          <w:sz w:val="22"/>
          <w:szCs w:val="22"/>
          <w:lang w:val="es-ES"/>
        </w:rPr>
        <w:t xml:space="preserve">- es examinar la manera en que las distintas instituciones brindan una respuesta a las víctimas y sus familias frente al grave problema de la desaparición en el país. </w:t>
      </w:r>
    </w:p>
    <w:p w14:paraId="06AE8FDE" w14:textId="77707C94" w:rsidR="00C50349" w:rsidRDefault="00C50349" w:rsidP="00C50349">
      <w:pPr>
        <w:spacing w:before="240" w:line="360" w:lineRule="auto"/>
        <w:jc w:val="both"/>
        <w:rPr>
          <w:rFonts w:ascii="Helvetica" w:hAnsi="Helvetica"/>
          <w:sz w:val="22"/>
          <w:szCs w:val="22"/>
          <w:lang w:val="es-ES"/>
        </w:rPr>
      </w:pPr>
      <w:r>
        <w:rPr>
          <w:rFonts w:ascii="Helvetica" w:hAnsi="Helvetica"/>
          <w:sz w:val="22"/>
          <w:szCs w:val="22"/>
          <w:lang w:val="es-ES"/>
        </w:rPr>
        <w:t>Las sentencias son el último eslabón de una seri</w:t>
      </w:r>
      <w:r w:rsidR="00E9287A">
        <w:rPr>
          <w:rFonts w:ascii="Helvetica" w:hAnsi="Helvetica"/>
          <w:sz w:val="22"/>
          <w:szCs w:val="22"/>
          <w:lang w:val="es-ES"/>
        </w:rPr>
        <w:t>e</w:t>
      </w:r>
      <w:r>
        <w:rPr>
          <w:rFonts w:ascii="Helvetica" w:hAnsi="Helvetica"/>
          <w:sz w:val="22"/>
          <w:szCs w:val="22"/>
          <w:lang w:val="es-ES"/>
        </w:rPr>
        <w:t xml:space="preserve"> de acciones impulsadas, en su mayoría, por las familias de las víctimas en la búsqueda de justicia. Sin embargo, a pesar de la profunda crisis que en materia de desaparición de personas vive el país desde 2010, los jueces del ámbito penal todavía no </w:t>
      </w:r>
      <w:r w:rsidR="00D375CB">
        <w:rPr>
          <w:rFonts w:ascii="Helvetica" w:hAnsi="Helvetica"/>
          <w:sz w:val="22"/>
          <w:szCs w:val="22"/>
          <w:lang w:val="es-ES"/>
        </w:rPr>
        <w:t>son actores</w:t>
      </w:r>
      <w:r>
        <w:rPr>
          <w:rFonts w:ascii="Helvetica" w:hAnsi="Helvetica"/>
          <w:sz w:val="22"/>
          <w:szCs w:val="22"/>
          <w:lang w:val="es-ES"/>
        </w:rPr>
        <w:t xml:space="preserve"> relevantes</w:t>
      </w:r>
      <w:r w:rsidR="00D375CB">
        <w:rPr>
          <w:rFonts w:ascii="Helvetica" w:hAnsi="Helvetica"/>
          <w:sz w:val="22"/>
          <w:szCs w:val="22"/>
          <w:lang w:val="es-ES"/>
        </w:rPr>
        <w:t xml:space="preserve"> en el problema</w:t>
      </w:r>
      <w:r>
        <w:rPr>
          <w:rFonts w:ascii="Helvetica" w:hAnsi="Helvetica"/>
          <w:sz w:val="22"/>
          <w:szCs w:val="22"/>
          <w:lang w:val="es-ES"/>
        </w:rPr>
        <w:t xml:space="preserve"> que coadyuven al entendimiento del fenómeno y ofrezca</w:t>
      </w:r>
      <w:r w:rsidR="00E9287A">
        <w:rPr>
          <w:rFonts w:ascii="Helvetica" w:hAnsi="Helvetica"/>
          <w:sz w:val="22"/>
          <w:szCs w:val="22"/>
          <w:lang w:val="es-ES"/>
        </w:rPr>
        <w:t>n</w:t>
      </w:r>
      <w:r w:rsidR="0028537C">
        <w:rPr>
          <w:rFonts w:ascii="Helvetica" w:hAnsi="Helvetica"/>
          <w:sz w:val="22"/>
          <w:szCs w:val="22"/>
          <w:lang w:val="es-ES"/>
        </w:rPr>
        <w:t xml:space="preserve"> verdad, justicia y reparación a las víctimas.</w:t>
      </w:r>
      <w:r w:rsidR="00D375CB">
        <w:rPr>
          <w:rFonts w:ascii="Helvetica" w:hAnsi="Helvetica"/>
          <w:sz w:val="22"/>
          <w:szCs w:val="22"/>
          <w:lang w:val="es-ES"/>
        </w:rPr>
        <w:t xml:space="preserve"> Ello no es un problema exclusivo de los poderes judiciales, sino que comienza con las políticas criminales en torno a la investigación de la desaparición de personas al interior de las fiscalías. </w:t>
      </w:r>
      <w:r w:rsidR="00E9287A">
        <w:rPr>
          <w:rFonts w:ascii="Helvetica" w:hAnsi="Helvetica"/>
          <w:sz w:val="22"/>
          <w:szCs w:val="22"/>
          <w:lang w:val="es-ES"/>
        </w:rPr>
        <w:t>L</w:t>
      </w:r>
      <w:r w:rsidR="0028537C">
        <w:rPr>
          <w:rFonts w:ascii="Helvetica" w:hAnsi="Helvetica"/>
          <w:sz w:val="22"/>
          <w:szCs w:val="22"/>
          <w:lang w:val="es-ES"/>
        </w:rPr>
        <w:t xml:space="preserve">a judicialización de los casos de desaparición es mínima comparada con la magnitud de la problemática. </w:t>
      </w:r>
      <w:r w:rsidR="002E49DE">
        <w:rPr>
          <w:rFonts w:ascii="Helvetica" w:hAnsi="Helvetica"/>
          <w:sz w:val="22"/>
          <w:szCs w:val="22"/>
          <w:lang w:val="es-ES"/>
        </w:rPr>
        <w:t>Como se detalla en la metodología, para la elaboración del informe se presentaron solicitudes de sentencias a todos los poderes judiciales del país, así como al Consejo de la Judicatura Federal. La base de análisis quedó en 28 sentencias</w:t>
      </w:r>
      <w:r w:rsidR="00095FBD">
        <w:rPr>
          <w:rFonts w:ascii="Helvetica" w:hAnsi="Helvetica"/>
          <w:sz w:val="22"/>
          <w:szCs w:val="22"/>
          <w:lang w:val="es-ES"/>
        </w:rPr>
        <w:t>, de un puñado de entidades</w:t>
      </w:r>
      <w:r w:rsidR="002E49DE">
        <w:rPr>
          <w:rFonts w:ascii="Helvetica" w:hAnsi="Helvetica"/>
          <w:sz w:val="22"/>
          <w:szCs w:val="22"/>
          <w:lang w:val="es-ES"/>
        </w:rPr>
        <w:t xml:space="preserve">, en un país con más de </w:t>
      </w:r>
      <w:r w:rsidR="00D375CB">
        <w:rPr>
          <w:rFonts w:ascii="Helvetica" w:hAnsi="Helvetica"/>
          <w:sz w:val="22"/>
          <w:szCs w:val="22"/>
          <w:lang w:val="es-ES"/>
        </w:rPr>
        <w:t xml:space="preserve">70,000 </w:t>
      </w:r>
      <w:r w:rsidR="002E49DE">
        <w:rPr>
          <w:rFonts w:ascii="Helvetica" w:hAnsi="Helvetica"/>
          <w:sz w:val="22"/>
          <w:szCs w:val="22"/>
          <w:lang w:val="es-ES"/>
        </w:rPr>
        <w:t xml:space="preserve">personas desaparecidas. </w:t>
      </w:r>
    </w:p>
    <w:p w14:paraId="5617B62B" w14:textId="77777777" w:rsidR="00E9287A" w:rsidRDefault="0028537C" w:rsidP="00C50349">
      <w:pPr>
        <w:spacing w:before="240" w:line="360" w:lineRule="auto"/>
        <w:jc w:val="both"/>
        <w:rPr>
          <w:rFonts w:ascii="Helvetica" w:hAnsi="Helvetica"/>
          <w:sz w:val="22"/>
          <w:szCs w:val="22"/>
          <w:lang w:val="es-ES"/>
        </w:rPr>
      </w:pPr>
      <w:r>
        <w:rPr>
          <w:rFonts w:ascii="Helvetica" w:hAnsi="Helvetica"/>
          <w:sz w:val="22"/>
          <w:szCs w:val="22"/>
          <w:lang w:val="es-ES"/>
        </w:rPr>
        <w:t xml:space="preserve">De ahí que sea relevante estudiar qué han dicho los jueces penales y cómo se posicionan frente a la desaparición en sus sentencias. Pero al mismo tiempo, las sentencias también son una ventana que permite examinar la manera en que los propios fiscales construyen este tipo de asuntos y aportan o no elementos para asegurar el </w:t>
      </w:r>
      <w:r w:rsidR="00E65BB1">
        <w:rPr>
          <w:rFonts w:ascii="Helvetica" w:hAnsi="Helvetica"/>
          <w:sz w:val="22"/>
          <w:szCs w:val="22"/>
          <w:lang w:val="es-ES"/>
        </w:rPr>
        <w:t xml:space="preserve">derecho de </w:t>
      </w:r>
      <w:r>
        <w:rPr>
          <w:rFonts w:ascii="Helvetica" w:hAnsi="Helvetica"/>
          <w:sz w:val="22"/>
          <w:szCs w:val="22"/>
          <w:lang w:val="es-ES"/>
        </w:rPr>
        <w:t xml:space="preserve">acceso a la justicia. </w:t>
      </w:r>
      <w:r w:rsidR="002E49DE">
        <w:rPr>
          <w:rFonts w:ascii="Helvetica" w:hAnsi="Helvetica"/>
          <w:sz w:val="22"/>
          <w:szCs w:val="22"/>
          <w:lang w:val="es-ES"/>
        </w:rPr>
        <w:t>E</w:t>
      </w:r>
      <w:r w:rsidR="00E9287A">
        <w:rPr>
          <w:rFonts w:ascii="Helvetica" w:hAnsi="Helvetica"/>
          <w:sz w:val="22"/>
          <w:szCs w:val="22"/>
          <w:lang w:val="es-ES"/>
        </w:rPr>
        <w:t>ste</w:t>
      </w:r>
    </w:p>
    <w:p w14:paraId="71D1EFD8" w14:textId="3F450683" w:rsidR="0028537C" w:rsidRDefault="002E49DE" w:rsidP="00C50349">
      <w:pPr>
        <w:spacing w:before="240" w:line="360" w:lineRule="auto"/>
        <w:jc w:val="both"/>
        <w:rPr>
          <w:rFonts w:ascii="Helvetica" w:hAnsi="Helvetica"/>
          <w:sz w:val="22"/>
          <w:szCs w:val="22"/>
          <w:lang w:val="es-ES"/>
        </w:rPr>
      </w:pPr>
      <w:r>
        <w:rPr>
          <w:rFonts w:ascii="Helvetica" w:hAnsi="Helvetica"/>
          <w:sz w:val="22"/>
          <w:szCs w:val="22"/>
          <w:lang w:val="es-ES"/>
        </w:rPr>
        <w:lastRenderedPageBreak/>
        <w:t xml:space="preserve"> informe pone en el centro de la discusión la manera en que las sentencias y los elementos ahí contenidos, aportan a la construcción de verdad y justicia, así como de búsqueda de las personas y reparación integral del daño. </w:t>
      </w:r>
      <w:r w:rsidR="00EA465B">
        <w:rPr>
          <w:rFonts w:ascii="Helvetica" w:hAnsi="Helvetica"/>
          <w:sz w:val="22"/>
          <w:szCs w:val="22"/>
          <w:lang w:val="es-ES"/>
        </w:rPr>
        <w:t>Mas que realizar un análisis de argumentación jurídica, lo que interesa al informe</w:t>
      </w:r>
      <w:r w:rsidR="005B71B0">
        <w:rPr>
          <w:rFonts w:ascii="Helvetica" w:hAnsi="Helvetica"/>
          <w:sz w:val="22"/>
          <w:szCs w:val="22"/>
          <w:lang w:val="es-ES"/>
        </w:rPr>
        <w:t xml:space="preserve"> </w:t>
      </w:r>
      <w:r w:rsidR="005B71B0" w:rsidRPr="00E65BB1">
        <w:rPr>
          <w:rFonts w:ascii="Helvetica" w:hAnsi="Helvetica"/>
          <w:sz w:val="22"/>
          <w:szCs w:val="22"/>
          <w:lang w:val="es-ES"/>
        </w:rPr>
        <w:t>pensar a las sentencias como una expresión</w:t>
      </w:r>
      <w:r w:rsidR="00EA465B" w:rsidRPr="00E65BB1">
        <w:rPr>
          <w:rFonts w:ascii="Helvetica" w:hAnsi="Helvetica"/>
          <w:sz w:val="22"/>
          <w:szCs w:val="22"/>
          <w:lang w:val="es-ES"/>
        </w:rPr>
        <w:t xml:space="preserve"> </w:t>
      </w:r>
      <w:r w:rsidR="005B71B0" w:rsidRPr="00E65BB1">
        <w:rPr>
          <w:rFonts w:ascii="Helvetica" w:hAnsi="Helvetica"/>
          <w:sz w:val="22"/>
          <w:szCs w:val="22"/>
          <w:lang w:val="es-ES"/>
        </w:rPr>
        <w:t>d</w:t>
      </w:r>
      <w:r w:rsidR="005B71B0">
        <w:rPr>
          <w:rFonts w:ascii="Helvetica" w:hAnsi="Helvetica"/>
          <w:sz w:val="22"/>
          <w:szCs w:val="22"/>
          <w:lang w:val="es-ES"/>
        </w:rPr>
        <w:t>e</w:t>
      </w:r>
      <w:r w:rsidR="00EA465B">
        <w:rPr>
          <w:rFonts w:ascii="Helvetica" w:hAnsi="Helvetica"/>
          <w:sz w:val="22"/>
          <w:szCs w:val="22"/>
          <w:lang w:val="es-ES"/>
        </w:rPr>
        <w:t xml:space="preserve"> </w:t>
      </w:r>
      <w:r w:rsidR="001A6CBD">
        <w:rPr>
          <w:rFonts w:ascii="Helvetica" w:hAnsi="Helvetica"/>
          <w:sz w:val="22"/>
          <w:szCs w:val="22"/>
          <w:lang w:val="es-ES"/>
        </w:rPr>
        <w:t>la manera en que se asegura</w:t>
      </w:r>
      <w:r w:rsidR="00E65BB1">
        <w:rPr>
          <w:rFonts w:ascii="Helvetica" w:hAnsi="Helvetica"/>
          <w:sz w:val="22"/>
          <w:szCs w:val="22"/>
          <w:lang w:val="es-ES"/>
        </w:rPr>
        <w:t xml:space="preserve"> el derecho de acceso a la justicia. </w:t>
      </w:r>
    </w:p>
    <w:p w14:paraId="1DEB1427" w14:textId="62AF0091" w:rsidR="001A6CBD" w:rsidRDefault="001A6CBD" w:rsidP="00C50349">
      <w:pPr>
        <w:spacing w:before="240" w:line="360" w:lineRule="auto"/>
        <w:jc w:val="both"/>
        <w:rPr>
          <w:rFonts w:ascii="Helvetica" w:hAnsi="Helvetica"/>
          <w:sz w:val="22"/>
          <w:szCs w:val="22"/>
          <w:lang w:val="es-ES"/>
        </w:rPr>
      </w:pPr>
      <w:r w:rsidRPr="0086506B">
        <w:rPr>
          <w:rFonts w:ascii="Helvetica" w:hAnsi="Helvetica"/>
          <w:sz w:val="22"/>
          <w:szCs w:val="22"/>
          <w:lang w:val="es-ES"/>
        </w:rPr>
        <w:t xml:space="preserve">El informe se divide, para ello, en </w:t>
      </w:r>
      <w:r w:rsidR="00354DCD" w:rsidRPr="0086506B">
        <w:rPr>
          <w:rFonts w:ascii="Helvetica" w:hAnsi="Helvetica"/>
          <w:sz w:val="22"/>
          <w:szCs w:val="22"/>
          <w:lang w:val="es-ES"/>
        </w:rPr>
        <w:t>seis</w:t>
      </w:r>
      <w:r w:rsidRPr="0086506B">
        <w:rPr>
          <w:rFonts w:ascii="Helvetica" w:hAnsi="Helvetica"/>
          <w:sz w:val="22"/>
          <w:szCs w:val="22"/>
          <w:lang w:val="es-ES"/>
        </w:rPr>
        <w:t xml:space="preserve"> partes. La primera está dedicada a esbozar el parámetro del derecho de acceso a la justicia en casos de desaparición forzada de personas de acuerdo con los criterios de la Corte Interamericana de Derechos Humanos (</w:t>
      </w:r>
      <w:proofErr w:type="spellStart"/>
      <w:r w:rsidRPr="0086506B">
        <w:rPr>
          <w:rFonts w:ascii="Helvetica" w:hAnsi="Helvetica"/>
          <w:sz w:val="22"/>
          <w:szCs w:val="22"/>
          <w:lang w:val="es-ES"/>
        </w:rPr>
        <w:t>CorteIDH</w:t>
      </w:r>
      <w:proofErr w:type="spellEnd"/>
      <w:r w:rsidRPr="0086506B">
        <w:rPr>
          <w:rFonts w:ascii="Helvetica" w:hAnsi="Helvetica"/>
          <w:sz w:val="22"/>
          <w:szCs w:val="22"/>
          <w:lang w:val="es-ES"/>
        </w:rPr>
        <w:t>)</w:t>
      </w:r>
      <w:r w:rsidR="00E560FD" w:rsidRPr="0086506B">
        <w:rPr>
          <w:rFonts w:ascii="Helvetica" w:hAnsi="Helvetica"/>
          <w:sz w:val="22"/>
          <w:szCs w:val="22"/>
          <w:lang w:val="es-ES"/>
        </w:rPr>
        <w:t xml:space="preserve">, en la medida que se trata del órgano más relevante en el tema y el que ha establecido los estándares más consistentes. En la segunda parte se presenta la metodología de análisis, mientras que en la tercera se incluyen los datos generales sobre las sentencias que permiten conocer el universo de análisis. En la cuarta sección se analizan los hechos dilucidados en las sentencias a partir de los estándares interamericanos de acceso a la justicia. Mientras que en la quinta parte se examina la forma en que se consideró a la búsqueda y a la reparación del daño en las sentencias. Finalmente, en la </w:t>
      </w:r>
      <w:r w:rsidR="00354DCD" w:rsidRPr="0086506B">
        <w:rPr>
          <w:rFonts w:ascii="Helvetica" w:hAnsi="Helvetica"/>
          <w:sz w:val="22"/>
          <w:szCs w:val="22"/>
          <w:lang w:val="es-ES"/>
        </w:rPr>
        <w:t>sexta parte se analiza la evolución conceptual de la desaparición forzada ha tenido en las sentencias. El informe cierra con unas conclusiones generales.</w:t>
      </w:r>
      <w:r w:rsidR="00354DCD">
        <w:rPr>
          <w:rFonts w:ascii="Helvetica" w:hAnsi="Helvetica"/>
          <w:sz w:val="22"/>
          <w:szCs w:val="22"/>
          <w:lang w:val="es-ES"/>
        </w:rPr>
        <w:t xml:space="preserve"> </w:t>
      </w:r>
    </w:p>
    <w:p w14:paraId="5E70D82F" w14:textId="77777777" w:rsidR="00876CAD" w:rsidRPr="000E00CA" w:rsidRDefault="00876CAD" w:rsidP="000E00CA">
      <w:pPr>
        <w:pStyle w:val="Ttulo1"/>
      </w:pPr>
      <w:bookmarkStart w:id="1" w:name="_Toc52293193"/>
      <w:r w:rsidRPr="000E00CA">
        <w:t>1. El derecho de acceso a la justicia en casos de desaparición de personas</w:t>
      </w:r>
      <w:bookmarkEnd w:id="1"/>
    </w:p>
    <w:p w14:paraId="2A226FDF" w14:textId="77777777" w:rsidR="00876CAD" w:rsidRDefault="00101406" w:rsidP="00101406">
      <w:pPr>
        <w:spacing w:before="240" w:line="360" w:lineRule="auto"/>
        <w:jc w:val="both"/>
        <w:rPr>
          <w:rFonts w:ascii="Helvetica" w:hAnsi="Helvetica"/>
          <w:sz w:val="22"/>
          <w:szCs w:val="22"/>
          <w:lang w:val="es-ES_tradnl"/>
        </w:rPr>
      </w:pPr>
      <w:r w:rsidRPr="00101406">
        <w:rPr>
          <w:rFonts w:ascii="Helvetica" w:hAnsi="Helvetica"/>
          <w:sz w:val="22"/>
          <w:szCs w:val="22"/>
          <w:lang w:val="es-ES_tradnl"/>
        </w:rPr>
        <w:t xml:space="preserve">La </w:t>
      </w:r>
      <w:proofErr w:type="spellStart"/>
      <w:r w:rsidRPr="00101406">
        <w:rPr>
          <w:rFonts w:ascii="Helvetica" w:hAnsi="Helvetica"/>
          <w:sz w:val="22"/>
          <w:szCs w:val="22"/>
          <w:lang w:val="es-ES_tradnl"/>
        </w:rPr>
        <w:t>CorteIDH</w:t>
      </w:r>
      <w:proofErr w:type="spellEnd"/>
      <w:r w:rsidRPr="00101406">
        <w:rPr>
          <w:rFonts w:ascii="Helvetica" w:hAnsi="Helvetica"/>
          <w:sz w:val="22"/>
          <w:szCs w:val="22"/>
          <w:lang w:val="es-ES_tradnl"/>
        </w:rPr>
        <w:t xml:space="preserve"> ha estado marcada por los casos de desaparición forzada desde sus inicios. La necesidad de desarrollar marcos normativos para dotar de claridad a las obligaciones </w:t>
      </w:r>
      <w:r w:rsidRPr="00101406">
        <w:rPr>
          <w:rFonts w:ascii="Helvetica" w:hAnsi="Helvetica"/>
          <w:sz w:val="22"/>
          <w:szCs w:val="22"/>
          <w:lang w:val="es-ES"/>
        </w:rPr>
        <w:t>estatales</w:t>
      </w:r>
      <w:r w:rsidRPr="00101406">
        <w:rPr>
          <w:rFonts w:ascii="Helvetica" w:hAnsi="Helvetica"/>
          <w:sz w:val="22"/>
          <w:szCs w:val="22"/>
          <w:lang w:val="es-ES_tradnl"/>
        </w:rPr>
        <w:t>, permitió al Tribunal Interamericano establecer pautas de acción que atienden tanto al contenido y alcance de la prohibición de la desaparición y de la naturaleza de los derechos comprometidos con la desaparición, como a las obligaciones de búsqueda, investigación y reparación del daño.</w:t>
      </w:r>
    </w:p>
    <w:p w14:paraId="062A8DF7" w14:textId="0F3F4C38" w:rsidR="000075E4" w:rsidRDefault="000075E4" w:rsidP="00101406">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ha entendido a la desaparición forzada a partir de tres elementos: 1) la privación de la libertad, 2) la intervención directa de agentes estatales, su aquiescencia o tolerancia, y 3) la negativa de reconocer la detención y revelar el paradero o la suerte de la persona desaparecida </w:t>
      </w:r>
      <w:sdt>
        <w:sdtPr>
          <w:rPr>
            <w:rFonts w:ascii="Helvetica" w:hAnsi="Helvetica"/>
            <w:sz w:val="22"/>
            <w:szCs w:val="22"/>
            <w:lang w:val="es-ES_tradnl"/>
          </w:rPr>
          <w:id w:val="548268940"/>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Cor091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Radilla Pacheco Vs. México, 2009)</w:t>
          </w:r>
          <w:r w:rsidRPr="000075E4">
            <w:rPr>
              <w:rFonts w:ascii="Helvetica" w:hAnsi="Helvetica"/>
              <w:sz w:val="22"/>
              <w:szCs w:val="22"/>
              <w:lang w:val="es-ES_tradnl"/>
            </w:rPr>
            <w:fldChar w:fldCharType="end"/>
          </w:r>
        </w:sdtContent>
      </w:sdt>
      <w:r w:rsidRPr="000075E4">
        <w:rPr>
          <w:rFonts w:ascii="Helvetica" w:hAnsi="Helvetica"/>
          <w:sz w:val="22"/>
          <w:szCs w:val="22"/>
          <w:lang w:val="es-ES_tradnl"/>
        </w:rPr>
        <w:t xml:space="preserve">. Estos elementos han sido constantes incluso en casos de desaparición donde no hubiera intervención directa o indirecta de agentes estatales. En esos asuntos, particularmente aquellas desapariciones </w:t>
      </w:r>
      <w:r w:rsidRPr="000075E4">
        <w:rPr>
          <w:rFonts w:ascii="Helvetica" w:hAnsi="Helvetica"/>
          <w:sz w:val="22"/>
          <w:szCs w:val="22"/>
          <w:lang w:val="es-ES_tradnl"/>
        </w:rPr>
        <w:lastRenderedPageBreak/>
        <w:t>de mujeres vinculadas con violencia de género, la Corte Interamericana ha distinguido entre una “desaparición” y la “desaparición forzada” (Caso Gutiérrez Hernández y otros Vs. Guatemala, 2017, párr. 123). Hasta ahora, el Tribunal solo ha aceptado la protección directa de la desaparición forzada, aunque entiende que los casos de desaparición de particulares pueden llegar a comprometer la responsabilidad internacional de un Estado</w:t>
      </w:r>
      <w:r w:rsidR="00E9287A">
        <w:rPr>
          <w:rFonts w:ascii="Helvetica" w:hAnsi="Helvetica"/>
          <w:sz w:val="22"/>
          <w:szCs w:val="22"/>
          <w:lang w:val="es-ES_tradnl"/>
        </w:rPr>
        <w:t xml:space="preserve"> </w:t>
      </w:r>
      <w:r w:rsidRPr="000075E4">
        <w:rPr>
          <w:rFonts w:ascii="Helvetica" w:hAnsi="Helvetica"/>
          <w:sz w:val="22"/>
          <w:szCs w:val="22"/>
          <w:lang w:val="es-ES_tradnl"/>
        </w:rPr>
        <w:t>cuando</w:t>
      </w:r>
      <w:r w:rsidR="00E9287A">
        <w:rPr>
          <w:rFonts w:ascii="Helvetica" w:hAnsi="Helvetica"/>
          <w:sz w:val="22"/>
          <w:szCs w:val="22"/>
          <w:lang w:val="es-ES_tradnl"/>
        </w:rPr>
        <w:t>,</w:t>
      </w:r>
      <w:r w:rsidRPr="000075E4">
        <w:rPr>
          <w:rFonts w:ascii="Helvetica" w:hAnsi="Helvetica"/>
          <w:sz w:val="22"/>
          <w:szCs w:val="22"/>
          <w:lang w:val="es-ES_tradnl"/>
        </w:rPr>
        <w:t xml:space="preserve"> conociendo el riesgo real e inminente al que se enfrentaba una víctima, no hizo nada para impedir la desaparición o para iniciar la pronta búsqueda </w:t>
      </w:r>
      <w:sdt>
        <w:sdtPr>
          <w:rPr>
            <w:rFonts w:ascii="Helvetica" w:hAnsi="Helvetica"/>
            <w:sz w:val="22"/>
            <w:szCs w:val="22"/>
            <w:lang w:val="es-ES_tradnl"/>
          </w:rPr>
          <w:id w:val="-506361895"/>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Cor061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de la Masacre de Pueblo Bello Vs. Colombia, 2006)</w:t>
          </w:r>
          <w:r w:rsidRPr="000075E4">
            <w:rPr>
              <w:rFonts w:ascii="Helvetica" w:hAnsi="Helvetica"/>
              <w:sz w:val="22"/>
              <w:szCs w:val="22"/>
              <w:lang w:val="es-ES_tradnl"/>
            </w:rPr>
            <w:fldChar w:fldCharType="end"/>
          </w:r>
        </w:sdtContent>
      </w:sdt>
      <w:r w:rsidRPr="000075E4">
        <w:rPr>
          <w:rFonts w:ascii="Helvetica" w:hAnsi="Helvetica"/>
          <w:sz w:val="22"/>
          <w:szCs w:val="22"/>
          <w:lang w:val="es-ES_tradnl"/>
        </w:rPr>
        <w:t xml:space="preserve"> </w:t>
      </w:r>
      <w:sdt>
        <w:sdtPr>
          <w:rPr>
            <w:rFonts w:ascii="Helvetica" w:hAnsi="Helvetica"/>
            <w:sz w:val="22"/>
            <w:szCs w:val="22"/>
            <w:lang w:val="es-ES_tradnl"/>
          </w:rPr>
          <w:id w:val="-1896350238"/>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Cor092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González y otras (“Campo Algodonero”) Vs. México, 2009)</w:t>
          </w:r>
          <w:r w:rsidRPr="000075E4">
            <w:rPr>
              <w:rFonts w:ascii="Helvetica" w:hAnsi="Helvetica"/>
              <w:sz w:val="22"/>
              <w:szCs w:val="22"/>
              <w:lang w:val="es-ES_tradnl"/>
            </w:rPr>
            <w:fldChar w:fldCharType="end"/>
          </w:r>
        </w:sdtContent>
      </w:sdt>
      <w:r w:rsidRPr="000075E4">
        <w:rPr>
          <w:rFonts w:ascii="Helvetica" w:hAnsi="Helvetica"/>
          <w:sz w:val="22"/>
          <w:szCs w:val="22"/>
          <w:lang w:val="es-ES_tradnl"/>
        </w:rPr>
        <w:t>. Por tanto, la desaparición de personas en la jurisprudencia interamericana está necesariamente relacionada con la conducta de las autoridades y no da cabida a la ampliación para incorporar a otros posibles perpetradores, lo cual es comprensible dada su naturaleza de órgano internacional.</w:t>
      </w:r>
    </w:p>
    <w:p w14:paraId="2994E8F1" w14:textId="77777777" w:rsidR="000075E4" w:rsidRPr="000075E4" w:rsidRDefault="000075E4" w:rsidP="000075E4">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Asimismo, el Tribunal Interamericano ha identificado algunas características respecto de su naturaleza jurídica:</w:t>
      </w:r>
    </w:p>
    <w:p w14:paraId="50B91F78" w14:textId="77777777" w:rsidR="000075E4" w:rsidRPr="000075E4" w:rsidRDefault="000075E4" w:rsidP="000075E4">
      <w:pPr>
        <w:numPr>
          <w:ilvl w:val="0"/>
          <w:numId w:val="3"/>
        </w:num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Violación compleja de derechos humanos, en tanto implica una violación de múltiples derechos humanos, entre ellos, la vida, la personalidad jurídica, la integridad personal y la libertad personal. </w:t>
      </w:r>
    </w:p>
    <w:p w14:paraId="68F92817" w14:textId="77777777" w:rsidR="000075E4" w:rsidRPr="000075E4" w:rsidRDefault="000075E4" w:rsidP="000075E4">
      <w:pPr>
        <w:numPr>
          <w:ilvl w:val="0"/>
          <w:numId w:val="3"/>
        </w:num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Violación continuada y permanente, en la medida que la desaparición continúa cometiéndose hasta en tanto no se encuentre a la persona o se conozca su destino </w:t>
      </w:r>
      <w:sdt>
        <w:sdtPr>
          <w:rPr>
            <w:rFonts w:ascii="Helvetica" w:hAnsi="Helvetica"/>
            <w:sz w:val="22"/>
            <w:szCs w:val="22"/>
            <w:lang w:val="es-ES_tradnl"/>
          </w:rPr>
          <w:id w:val="873967687"/>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Cor10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Ibsen Cárdenas e Ibsen Peña Vs. Bolivia, 2010)</w:t>
          </w:r>
          <w:r w:rsidRPr="000075E4">
            <w:rPr>
              <w:rFonts w:ascii="Helvetica" w:hAnsi="Helvetica"/>
              <w:sz w:val="22"/>
              <w:szCs w:val="22"/>
              <w:lang w:val="es-ES_tradnl"/>
            </w:rPr>
            <w:fldChar w:fldCharType="end"/>
          </w:r>
        </w:sdtContent>
      </w:sdt>
      <w:r w:rsidRPr="000075E4">
        <w:rPr>
          <w:rFonts w:ascii="Helvetica" w:hAnsi="Helvetica"/>
          <w:sz w:val="22"/>
          <w:szCs w:val="22"/>
          <w:lang w:val="es-ES_tradnl"/>
        </w:rPr>
        <w:t xml:space="preserve">. </w:t>
      </w:r>
    </w:p>
    <w:p w14:paraId="3983F0F8" w14:textId="77777777" w:rsidR="000075E4" w:rsidRPr="000075E4" w:rsidRDefault="000075E4" w:rsidP="000075E4">
      <w:pPr>
        <w:numPr>
          <w:ilvl w:val="0"/>
          <w:numId w:val="3"/>
        </w:num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Violación autónoma, en tanto se le reconoce como una violación por sí misma, independiente de la violación de los derechos que la compongan </w:t>
      </w:r>
      <w:sdt>
        <w:sdtPr>
          <w:rPr>
            <w:rFonts w:ascii="Helvetica" w:hAnsi="Helvetica"/>
            <w:sz w:val="22"/>
            <w:szCs w:val="22"/>
            <w:lang w:val="es-ES_tradnl"/>
          </w:rPr>
          <w:id w:val="-1213661764"/>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Cor093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Anzualdo Castro Vs. Perú, 2009)</w:t>
          </w:r>
          <w:r w:rsidRPr="000075E4">
            <w:rPr>
              <w:rFonts w:ascii="Helvetica" w:hAnsi="Helvetica"/>
              <w:sz w:val="22"/>
              <w:szCs w:val="22"/>
              <w:lang w:val="es-ES_tradnl"/>
            </w:rPr>
            <w:fldChar w:fldCharType="end"/>
          </w:r>
        </w:sdtContent>
      </w:sdt>
      <w:r w:rsidRPr="000075E4">
        <w:rPr>
          <w:rFonts w:ascii="Helvetica" w:hAnsi="Helvetica"/>
          <w:sz w:val="22"/>
          <w:szCs w:val="22"/>
          <w:lang w:val="es-ES_tradnl"/>
        </w:rPr>
        <w:t xml:space="preserve">. </w:t>
      </w:r>
    </w:p>
    <w:p w14:paraId="15C0222D" w14:textId="77777777" w:rsidR="000075E4" w:rsidRDefault="000075E4" w:rsidP="00101406">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La identificación de las violaciones de los derechos que componen a la desaparición forzada no requiere realizarse de manera individual sino que, en general, se presume su violación a partir de los elementos circunstanciales con que cuenta el Tribunal. Así, no es necesario probar la violación al derecho a la libertad personal (que sea ilegal, arbitraria o que siendo legal haya devenido en ilegal), sino basta con elementos que permitan determinar o suponer la detención de una persona por una autoridad o con su aquiescencia </w:t>
      </w:r>
      <w:sdt>
        <w:sdtPr>
          <w:rPr>
            <w:rFonts w:ascii="Helvetica" w:hAnsi="Helvetica"/>
            <w:sz w:val="22"/>
            <w:szCs w:val="22"/>
            <w:lang w:val="es-ES_tradnl"/>
          </w:rPr>
          <w:id w:val="639390679"/>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Cor06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La Cantuta Vs. Perú, 2006)</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o el </w:t>
      </w:r>
      <w:r w:rsidRPr="000075E4">
        <w:rPr>
          <w:rFonts w:ascii="Helvetica" w:hAnsi="Helvetica"/>
          <w:i/>
          <w:iCs/>
          <w:sz w:val="22"/>
          <w:szCs w:val="22"/>
          <w:lang w:val="es-ES_tradnl"/>
        </w:rPr>
        <w:t xml:space="preserve">modus operandi </w:t>
      </w:r>
      <w:r w:rsidRPr="000075E4">
        <w:rPr>
          <w:rFonts w:ascii="Helvetica" w:hAnsi="Helvetica"/>
          <w:sz w:val="22"/>
          <w:szCs w:val="22"/>
          <w:lang w:val="es-ES_tradnl"/>
        </w:rPr>
        <w:t xml:space="preserve">con que se llevaban a cabo las desapariciones </w:t>
      </w:r>
      <w:sdt>
        <w:sdtPr>
          <w:rPr>
            <w:rFonts w:ascii="Helvetica" w:hAnsi="Helvetica"/>
            <w:sz w:val="22"/>
            <w:szCs w:val="22"/>
            <w:lang w:val="es-ES_tradnl"/>
          </w:rPr>
          <w:id w:val="-489550391"/>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Cor091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 xml:space="preserve">(Caso </w:t>
          </w:r>
          <w:r w:rsidRPr="000075E4">
            <w:rPr>
              <w:rFonts w:ascii="Helvetica" w:hAnsi="Helvetica"/>
              <w:sz w:val="22"/>
              <w:szCs w:val="22"/>
              <w:lang w:val="es-ES_tradnl"/>
            </w:rPr>
            <w:lastRenderedPageBreak/>
            <w:t>Radilla Pacheco Vs. México, 2009)</w:t>
          </w:r>
          <w:r w:rsidRPr="000075E4">
            <w:rPr>
              <w:rFonts w:ascii="Helvetica" w:hAnsi="Helvetica"/>
              <w:sz w:val="22"/>
              <w:szCs w:val="22"/>
              <w:lang w:val="es-ES"/>
            </w:rPr>
            <w:fldChar w:fldCharType="end"/>
          </w:r>
        </w:sdtContent>
      </w:sdt>
      <w:r w:rsidRPr="000075E4">
        <w:rPr>
          <w:rFonts w:ascii="Helvetica" w:hAnsi="Helvetica"/>
          <w:sz w:val="22"/>
          <w:szCs w:val="22"/>
          <w:lang w:val="es-ES_tradnl"/>
        </w:rPr>
        <w:t>. Lo mismo sucede con el derecho a la integridad personal,</w:t>
      </w:r>
      <w:r>
        <w:rPr>
          <w:rFonts w:ascii="Helvetica" w:hAnsi="Helvetica"/>
          <w:sz w:val="22"/>
          <w:szCs w:val="22"/>
          <w:lang w:val="es-ES_tradnl"/>
        </w:rPr>
        <w:t xml:space="preserve"> la vida y la personalidad jurídica. </w:t>
      </w:r>
    </w:p>
    <w:p w14:paraId="06EBE826" w14:textId="77777777" w:rsidR="000075E4" w:rsidRPr="000075E4" w:rsidRDefault="000075E4" w:rsidP="000075E4">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Además, la desaparición forzada conlleva la violación a los derechos de los familiares de las víctimas, entre ellos el acceso a la justicia, la integridad personal y el derecho a la verdad. El reconocimiento de estos derechos como parte de los efectos de la desaparición forzada se dio a la luz de los requerimientos y características de los casos analizados. Hoy se presume que la falta de acceso a la justicia y de un recurso efectivo conlleva el sufrimiento de los familiares y que en toda investigación debe garantizarse su participación, a fin de lograr los objetivos del derecho de acceso a la justicia </w:t>
      </w:r>
      <w:sdt>
        <w:sdtPr>
          <w:rPr>
            <w:rFonts w:ascii="Helvetica" w:hAnsi="Helvetica"/>
            <w:sz w:val="22"/>
            <w:szCs w:val="22"/>
            <w:lang w:val="es-ES_tradnl"/>
          </w:rPr>
          <w:id w:val="1323854536"/>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Cor98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Blake Vs. Guatemala, 1998)</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w:t>
      </w:r>
      <w:sdt>
        <w:sdtPr>
          <w:rPr>
            <w:rFonts w:ascii="Helvetica" w:hAnsi="Helvetica"/>
            <w:sz w:val="22"/>
            <w:szCs w:val="22"/>
            <w:lang w:val="es-ES_tradnl"/>
          </w:rPr>
          <w:id w:val="-81613792"/>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Cor093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Anzualdo Castro Vs. Perú, 2009)</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Una demanda constante en casos más recientes, ha sido el reconocimiento de la violación del derecho a la verdad como un derecho autónomo. En general, 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ha reconocido que este derecho se viola a consecuencia de la falta de acceso a la justicia en la medida que ante la ausencia de investigación, los familiares de la víctima no tienen posibilidad de conocer cuál fue el destino de la persona y, en su caso, dónde se encuentran sus restos. Sin embargo, cuando se han llevado a cabo acciones o recursos específicos en el marco del derecho a buscar y recibir información, 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ha llegado a reconocer también una violación autónoma del derecho a la libertad de expresión establecido en el artículo 13 de la CADH </w:t>
      </w:r>
      <w:sdt>
        <w:sdtPr>
          <w:rPr>
            <w:rFonts w:ascii="Helvetica" w:hAnsi="Helvetica"/>
            <w:sz w:val="22"/>
            <w:szCs w:val="22"/>
            <w:lang w:val="es-ES_tradnl"/>
          </w:rPr>
          <w:id w:val="-2067793922"/>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Cor102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Gomes Lund y otros ("Guerrilha do Araguaia") Vs. Brasil, 2010)</w:t>
          </w:r>
          <w:r w:rsidRPr="000075E4">
            <w:rPr>
              <w:rFonts w:ascii="Helvetica" w:hAnsi="Helvetica"/>
              <w:sz w:val="22"/>
              <w:szCs w:val="22"/>
              <w:lang w:val="es-ES"/>
            </w:rPr>
            <w:fldChar w:fldCharType="end"/>
          </w:r>
        </w:sdtContent>
      </w:sdt>
      <w:r w:rsidRPr="000075E4">
        <w:rPr>
          <w:rFonts w:ascii="Helvetica" w:hAnsi="Helvetica"/>
          <w:sz w:val="22"/>
          <w:szCs w:val="22"/>
          <w:lang w:val="es-ES_tradnl"/>
        </w:rPr>
        <w:t>.</w:t>
      </w:r>
    </w:p>
    <w:p w14:paraId="2335BE71" w14:textId="77777777" w:rsidR="00D01732" w:rsidRDefault="000075E4" w:rsidP="000075E4">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Al margen de establecer el contenido y alcance de las violaciones múltiples y complejas que conlleva la desaparición forzada, 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también ha precisado las obligaciones estatales en la materia. La más importante, por supuesto, es la de abstenerse de cometer la desaparición forzada de personas, pero donde más tiempo ha dedicado es   a desglosar el deber de investigar con debida diligencia todos los casos de desaparición forzada. 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ha señalado que la investigación de los posibles perpetradores y la búsqueda de las personas desaparecidas debe abarcar al conjunto de los hechos que se presentan, de tal forma que no deben analizarse de manera parcial y autónoma los derechos que la conforman ni tampoco debe considerarse a cada hecho como independiente </w:t>
      </w:r>
      <w:sdt>
        <w:sdtPr>
          <w:rPr>
            <w:rFonts w:ascii="Helvetica" w:hAnsi="Helvetica"/>
            <w:sz w:val="22"/>
            <w:szCs w:val="22"/>
            <w:lang w:val="es-ES_tradnl"/>
          </w:rPr>
          <w:id w:val="1080406968"/>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Cor091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Radilla Pacheco Vs. México, 2009)</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w:t>
      </w:r>
    </w:p>
    <w:p w14:paraId="5FD7B736" w14:textId="77777777" w:rsidR="000075E4" w:rsidRPr="000075E4" w:rsidRDefault="000075E4" w:rsidP="000075E4">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Al contrario, frente a un caso de desaparición forzada, es necesario realizar un análisis sistemático y comprensivo a fin de contar con una perspectiva integral que permita a la </w:t>
      </w:r>
      <w:r w:rsidRPr="000075E4">
        <w:rPr>
          <w:rFonts w:ascii="Helvetica" w:hAnsi="Helvetica"/>
          <w:sz w:val="22"/>
          <w:szCs w:val="22"/>
          <w:lang w:val="es-ES_tradnl"/>
        </w:rPr>
        <w:lastRenderedPageBreak/>
        <w:t xml:space="preserve">autoridad investigadora y a la judicial formarse un juicio de la complejidad que reviste el hecho </w:t>
      </w:r>
      <w:sdt>
        <w:sdtPr>
          <w:rPr>
            <w:rFonts w:ascii="Helvetica" w:hAnsi="Helvetica"/>
            <w:sz w:val="22"/>
            <w:szCs w:val="22"/>
            <w:lang w:val="es-ES_tradnl"/>
          </w:rPr>
          <w:id w:val="-74049477"/>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Cor10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Ibsen Cárdenas e Ibsen Peña Vs. Bolivia, 2010)</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Por eso mismo, es que una constante en la jurisprudencia interamericana en los casos de desaparición forzada es que la prueba fundamental respecto de los hechos es la indiciaria o circunstancial </w:t>
      </w:r>
      <w:sdt>
        <w:sdtPr>
          <w:rPr>
            <w:rFonts w:ascii="Helvetica" w:hAnsi="Helvetica"/>
            <w:sz w:val="22"/>
            <w:szCs w:val="22"/>
            <w:lang w:val="es-ES_tradnl"/>
          </w:rPr>
          <w:id w:val="-589630836"/>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Cor10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Ibsen Cárdenas e Ibsen Peña Vs. Bolivia, 2010)</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Por la propia naturaleza misma de la desaparición, donde desaparece la persona pero también las pruebas sobre el mecanismo que hizo posible dicha desaparición, 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le ha dado el mayor peso a una lectura de los contextos en los que se presentan los hechos. Importa la existencia de contextos de violaciones generalizadas o sistemáticas, conocimiento sobre la práctica de los posibles perpetradores, la actividad de la víctima, los lugares, los tiempos, etc. </w:t>
      </w:r>
    </w:p>
    <w:p w14:paraId="719C7B5D" w14:textId="6CCE3B30" w:rsidR="000075E4" w:rsidRPr="000075E4" w:rsidRDefault="000075E4" w:rsidP="000075E4">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En cuanto a la búsqueda, la </w:t>
      </w:r>
      <w:proofErr w:type="spellStart"/>
      <w:r w:rsidRPr="000075E4">
        <w:rPr>
          <w:rFonts w:ascii="Helvetica" w:hAnsi="Helvetica"/>
          <w:sz w:val="22"/>
          <w:szCs w:val="22"/>
          <w:lang w:val="es-ES_tradnl"/>
        </w:rPr>
        <w:t>CorteIDH</w:t>
      </w:r>
      <w:proofErr w:type="spellEnd"/>
      <w:r w:rsidRPr="000075E4">
        <w:rPr>
          <w:rFonts w:ascii="Helvetica" w:hAnsi="Helvetica"/>
          <w:sz w:val="22"/>
          <w:szCs w:val="22"/>
          <w:lang w:val="es-ES_tradnl"/>
        </w:rPr>
        <w:t xml:space="preserve"> le da prioridad a la búsqueda judicial (aunque no desestima la búsqueda por vía administrativa) e inmediata, a partir de los primeros elementos con que se cuente a fin de recuperar la mayor cantidad de elementos que permitan identificar el paradero de la víctima </w:t>
      </w:r>
      <w:sdt>
        <w:sdtPr>
          <w:rPr>
            <w:rFonts w:ascii="Helvetica" w:hAnsi="Helvetica"/>
            <w:sz w:val="22"/>
            <w:szCs w:val="22"/>
            <w:lang w:val="es-ES_tradnl"/>
          </w:rPr>
          <w:id w:val="513816346"/>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Cor18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Alvarado Espinoza y otros Vs. México, 2018)</w:t>
          </w:r>
          <w:r w:rsidRPr="000075E4">
            <w:rPr>
              <w:rFonts w:ascii="Helvetica" w:hAnsi="Helvetica"/>
              <w:sz w:val="22"/>
              <w:szCs w:val="22"/>
              <w:lang w:val="es-ES"/>
            </w:rPr>
            <w:fldChar w:fldCharType="end"/>
          </w:r>
        </w:sdtContent>
      </w:sdt>
      <w:r w:rsidRPr="000075E4">
        <w:rPr>
          <w:rFonts w:ascii="Helvetica" w:hAnsi="Helvetica"/>
          <w:sz w:val="22"/>
          <w:szCs w:val="22"/>
          <w:lang w:val="es-ES_tradnl"/>
        </w:rPr>
        <w:t>. Como parte de esta obligación, en el caso de haber hallado el cadáver de la víctima, las autoridades deben identificar a la víctima, recuperar y preservar el materia</w:t>
      </w:r>
      <w:r w:rsidR="00E12728">
        <w:rPr>
          <w:rFonts w:ascii="Helvetica" w:hAnsi="Helvetica"/>
          <w:sz w:val="22"/>
          <w:szCs w:val="22"/>
          <w:lang w:val="es-ES_tradnl"/>
        </w:rPr>
        <w:t>l</w:t>
      </w:r>
      <w:r w:rsidRPr="000075E4">
        <w:rPr>
          <w:rFonts w:ascii="Helvetica" w:hAnsi="Helvetica"/>
          <w:sz w:val="22"/>
          <w:szCs w:val="22"/>
          <w:lang w:val="es-ES_tradnl"/>
        </w:rPr>
        <w:t xml:space="preserve"> probatorio, determinar la causa, forma, lugar y momento de la muerte, y entregarlo a sus familiares </w:t>
      </w:r>
      <w:sdt>
        <w:sdtPr>
          <w:rPr>
            <w:rFonts w:ascii="Helvetica" w:hAnsi="Helvetica"/>
            <w:sz w:val="22"/>
            <w:szCs w:val="22"/>
            <w:lang w:val="es-ES_tradnl"/>
          </w:rPr>
          <w:id w:val="951744622"/>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Cor102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Gomes Lund y otros ("Guerrilha do Araguaia") Vs. Brasil, 2010)</w:t>
          </w:r>
          <w:r w:rsidRPr="000075E4">
            <w:rPr>
              <w:rFonts w:ascii="Helvetica" w:hAnsi="Helvetica"/>
              <w:sz w:val="22"/>
              <w:szCs w:val="22"/>
              <w:lang w:val="es-ES"/>
            </w:rPr>
            <w:fldChar w:fldCharType="end"/>
          </w:r>
        </w:sdtContent>
      </w:sdt>
      <w:r w:rsidRPr="000075E4">
        <w:rPr>
          <w:rFonts w:ascii="Helvetica" w:hAnsi="Helvetica"/>
          <w:sz w:val="22"/>
          <w:szCs w:val="22"/>
          <w:lang w:val="es-ES_tradnl"/>
        </w:rPr>
        <w:t>.</w:t>
      </w:r>
    </w:p>
    <w:p w14:paraId="1B359C71" w14:textId="77777777" w:rsidR="000075E4" w:rsidRPr="000075E4" w:rsidRDefault="000075E4" w:rsidP="000075E4">
      <w:pPr>
        <w:spacing w:before="240" w:line="360" w:lineRule="auto"/>
        <w:jc w:val="both"/>
        <w:rPr>
          <w:rFonts w:ascii="Helvetica" w:hAnsi="Helvetica"/>
          <w:sz w:val="22"/>
          <w:szCs w:val="22"/>
          <w:lang w:val="es-ES_tradnl"/>
        </w:rPr>
      </w:pPr>
      <w:r w:rsidRPr="000075E4">
        <w:rPr>
          <w:rFonts w:ascii="Helvetica" w:hAnsi="Helvetica"/>
          <w:sz w:val="22"/>
          <w:szCs w:val="22"/>
          <w:lang w:val="es-ES_tradnl"/>
        </w:rPr>
        <w:t xml:space="preserve">Respecto de la investigación de los casos de desaparición, el Tribunal lo entiende como una obligación </w:t>
      </w:r>
      <w:r w:rsidRPr="000075E4">
        <w:rPr>
          <w:rFonts w:ascii="Helvetica" w:hAnsi="Helvetica"/>
          <w:i/>
          <w:iCs/>
          <w:sz w:val="22"/>
          <w:szCs w:val="22"/>
          <w:lang w:val="es-ES_tradnl"/>
        </w:rPr>
        <w:t xml:space="preserve">ex </w:t>
      </w:r>
      <w:proofErr w:type="spellStart"/>
      <w:r w:rsidRPr="000075E4">
        <w:rPr>
          <w:rFonts w:ascii="Helvetica" w:hAnsi="Helvetica"/>
          <w:i/>
          <w:iCs/>
          <w:sz w:val="22"/>
          <w:szCs w:val="22"/>
          <w:lang w:val="es-ES_tradnl"/>
        </w:rPr>
        <w:t>officio</w:t>
      </w:r>
      <w:proofErr w:type="spellEnd"/>
      <w:r w:rsidRPr="000075E4">
        <w:rPr>
          <w:rFonts w:ascii="Helvetica" w:hAnsi="Helvetica"/>
          <w:sz w:val="22"/>
          <w:szCs w:val="22"/>
          <w:lang w:val="es-ES_tradnl"/>
        </w:rPr>
        <w:t xml:space="preserve"> de los Estados y que se debe dotar de los recursos logísticos y científicos necesarios para recabar y procesar las pruebas, así como para contar con acceso a toda la documentación que se requiera para ubicar las evidencia o indicios que permitan encontrar a la víctima y a los responsables de la desaparición. Asimismo, el Estado debe garantizar el acceso a todos los lugares de detención, a personas para recabar testimonio y la documentación necesaria. El objetivo es asegurar que todos los responsables materiales e intelectuales de la desaparición sean identificados, investigados y juzgados. El marco de análisis debe permitir develar el contexto estructural que permitió la desaparición y los patrones sistemáticos que lo sustentan, de tal manera que se asegure el combate a la impunidad </w:t>
      </w:r>
      <w:sdt>
        <w:sdtPr>
          <w:rPr>
            <w:rFonts w:ascii="Helvetica" w:hAnsi="Helvetica"/>
            <w:sz w:val="22"/>
            <w:szCs w:val="22"/>
            <w:lang w:val="es-ES_tradnl"/>
          </w:rPr>
          <w:id w:val="-759446340"/>
          <w:citation/>
        </w:sdtPr>
        <w:sdtContent>
          <w:r w:rsidRPr="000075E4">
            <w:rPr>
              <w:rFonts w:ascii="Helvetica" w:hAnsi="Helvetica"/>
              <w:sz w:val="22"/>
              <w:szCs w:val="22"/>
              <w:lang w:val="es-ES_tradnl"/>
            </w:rPr>
            <w:fldChar w:fldCharType="begin"/>
          </w:r>
          <w:r w:rsidRPr="000075E4">
            <w:rPr>
              <w:rFonts w:ascii="Helvetica" w:hAnsi="Helvetica"/>
              <w:sz w:val="22"/>
              <w:szCs w:val="22"/>
              <w:lang w:val="es-ES_tradnl"/>
            </w:rPr>
            <w:instrText xml:space="preserve"> CITATION Cor093 \l 3082 </w:instrText>
          </w:r>
          <w:r w:rsidRPr="000075E4">
            <w:rPr>
              <w:rFonts w:ascii="Helvetica" w:hAnsi="Helvetica"/>
              <w:sz w:val="22"/>
              <w:szCs w:val="22"/>
              <w:lang w:val="es-ES_tradnl"/>
            </w:rPr>
            <w:fldChar w:fldCharType="separate"/>
          </w:r>
          <w:r w:rsidRPr="000075E4">
            <w:rPr>
              <w:rFonts w:ascii="Helvetica" w:hAnsi="Helvetica"/>
              <w:sz w:val="22"/>
              <w:szCs w:val="22"/>
              <w:lang w:val="es-ES_tradnl"/>
            </w:rPr>
            <w:t>(Caso Anzualdo Castro Vs. Perú, 2009)</w:t>
          </w:r>
          <w:r w:rsidRPr="000075E4">
            <w:rPr>
              <w:rFonts w:ascii="Helvetica" w:hAnsi="Helvetica"/>
              <w:sz w:val="22"/>
              <w:szCs w:val="22"/>
              <w:lang w:val="es-ES"/>
            </w:rPr>
            <w:fldChar w:fldCharType="end"/>
          </w:r>
        </w:sdtContent>
      </w:sdt>
      <w:r w:rsidRPr="000075E4">
        <w:rPr>
          <w:rFonts w:ascii="Helvetica" w:hAnsi="Helvetica"/>
          <w:sz w:val="22"/>
          <w:szCs w:val="22"/>
          <w:lang w:val="es-ES_tradnl"/>
        </w:rPr>
        <w:t xml:space="preserve">. </w:t>
      </w:r>
    </w:p>
    <w:p w14:paraId="72BF660D" w14:textId="77777777" w:rsidR="000075E4" w:rsidRDefault="00D01732" w:rsidP="00101406">
      <w:pPr>
        <w:spacing w:before="240" w:line="360" w:lineRule="auto"/>
        <w:jc w:val="both"/>
        <w:rPr>
          <w:rFonts w:ascii="Helvetica" w:hAnsi="Helvetica"/>
          <w:sz w:val="22"/>
          <w:szCs w:val="22"/>
          <w:lang w:val="es-ES"/>
        </w:rPr>
      </w:pPr>
      <w:r>
        <w:rPr>
          <w:rFonts w:ascii="Helvetica" w:hAnsi="Helvetica"/>
          <w:sz w:val="22"/>
          <w:szCs w:val="22"/>
          <w:lang w:val="es-ES"/>
        </w:rPr>
        <w:t xml:space="preserve">En cuanto a la reparación del daño, la </w:t>
      </w:r>
      <w:proofErr w:type="spellStart"/>
      <w:r>
        <w:rPr>
          <w:rFonts w:ascii="Helvetica" w:hAnsi="Helvetica"/>
          <w:sz w:val="22"/>
          <w:szCs w:val="22"/>
          <w:lang w:val="es-ES"/>
        </w:rPr>
        <w:t>CorteIDH</w:t>
      </w:r>
      <w:proofErr w:type="spellEnd"/>
      <w:r>
        <w:rPr>
          <w:rFonts w:ascii="Helvetica" w:hAnsi="Helvetica"/>
          <w:sz w:val="22"/>
          <w:szCs w:val="22"/>
          <w:lang w:val="es-ES"/>
        </w:rPr>
        <w:t xml:space="preserve"> sigue en estos casos, su jurisprudencia general en materia de reparación integral y garantías de no repetición. Donde deben </w:t>
      </w:r>
      <w:r>
        <w:rPr>
          <w:rFonts w:ascii="Helvetica" w:hAnsi="Helvetica"/>
          <w:sz w:val="22"/>
          <w:szCs w:val="22"/>
          <w:lang w:val="es-ES"/>
        </w:rPr>
        <w:lastRenderedPageBreak/>
        <w:t xml:space="preserve">reconocerse los daños materiales e inmateriales y adoptarse reparaciones de rehabilitación, satisfacción y garantías de no repetición. </w:t>
      </w:r>
    </w:p>
    <w:p w14:paraId="33BAFA1C" w14:textId="5FAD69CA" w:rsidR="000E00CA" w:rsidRDefault="00D01732" w:rsidP="000E00CA">
      <w:pPr>
        <w:spacing w:before="240" w:line="360" w:lineRule="auto"/>
        <w:jc w:val="both"/>
        <w:rPr>
          <w:rFonts w:ascii="Helvetica" w:hAnsi="Helvetica"/>
          <w:sz w:val="22"/>
          <w:szCs w:val="22"/>
          <w:lang w:val="es-ES"/>
        </w:rPr>
      </w:pPr>
      <w:r>
        <w:rPr>
          <w:rFonts w:ascii="Helvetica" w:hAnsi="Helvetica"/>
          <w:sz w:val="22"/>
          <w:szCs w:val="22"/>
          <w:lang w:val="es-ES"/>
        </w:rPr>
        <w:t>Los estándares interamericanos establecen un conjunto de obligaciones claras y constantes para asegurar los derechos de las víctimas y sus familias en el trayecto del acceso a la justicia</w:t>
      </w:r>
      <w:r w:rsidR="003665C9">
        <w:rPr>
          <w:rFonts w:ascii="Helvetica" w:hAnsi="Helvetica"/>
          <w:sz w:val="22"/>
          <w:szCs w:val="22"/>
          <w:lang w:val="es-ES"/>
        </w:rPr>
        <w:t>:</w:t>
      </w:r>
    </w:p>
    <w:p w14:paraId="1AC05BC0" w14:textId="77777777" w:rsidR="003665C9" w:rsidRDefault="003665C9" w:rsidP="00107CDD">
      <w:pPr>
        <w:spacing w:line="360" w:lineRule="auto"/>
        <w:jc w:val="both"/>
        <w:rPr>
          <w:rFonts w:ascii="Helvetica" w:hAnsi="Helvetica"/>
          <w:sz w:val="22"/>
          <w:szCs w:val="22"/>
          <w:lang w:val="es-ES"/>
        </w:rPr>
      </w:pPr>
    </w:p>
    <w:p w14:paraId="0C3C0EC0" w14:textId="31CEA56F" w:rsidR="003665C9" w:rsidRPr="003665C9" w:rsidRDefault="003665C9" w:rsidP="003665C9">
      <w:pPr>
        <w:pStyle w:val="Descripcin"/>
      </w:pPr>
      <w:bookmarkStart w:id="2" w:name="_Toc52293239"/>
      <w:bookmarkStart w:id="3" w:name="_Toc52293315"/>
      <w:r w:rsidRPr="003665C9">
        <w:t>Tabla 1. Obligaciones del derecho de acceso a la justicia</w:t>
      </w:r>
      <w:bookmarkEnd w:id="2"/>
      <w:bookmarkEnd w:id="3"/>
    </w:p>
    <w:tbl>
      <w:tblPr>
        <w:tblStyle w:val="Tabladecuadrcula4"/>
        <w:tblW w:w="5000" w:type="pct"/>
        <w:tblLook w:val="0420" w:firstRow="1" w:lastRow="0" w:firstColumn="0" w:lastColumn="0" w:noHBand="0" w:noVBand="1"/>
      </w:tblPr>
      <w:tblGrid>
        <w:gridCol w:w="2624"/>
        <w:gridCol w:w="6204"/>
      </w:tblGrid>
      <w:tr w:rsidR="003665C9" w:rsidRPr="003665C9" w14:paraId="4281B1AF" w14:textId="77777777" w:rsidTr="003665C9">
        <w:trPr>
          <w:cnfStyle w:val="100000000000" w:firstRow="1" w:lastRow="0" w:firstColumn="0" w:lastColumn="0" w:oddVBand="0" w:evenVBand="0" w:oddHBand="0" w:evenHBand="0" w:firstRowFirstColumn="0" w:firstRowLastColumn="0" w:lastRowFirstColumn="0" w:lastRowLastColumn="0"/>
          <w:trHeight w:val="205"/>
        </w:trPr>
        <w:tc>
          <w:tcPr>
            <w:tcW w:w="1486" w:type="pct"/>
            <w:hideMark/>
          </w:tcPr>
          <w:p w14:paraId="04D8DFFB" w14:textId="77777777" w:rsidR="003665C9" w:rsidRPr="003665C9" w:rsidRDefault="003665C9" w:rsidP="003665C9">
            <w:pPr>
              <w:jc w:val="center"/>
              <w:rPr>
                <w:rFonts w:ascii="Helvetica" w:hAnsi="Helvetica"/>
                <w:sz w:val="20"/>
                <w:szCs w:val="20"/>
              </w:rPr>
            </w:pPr>
            <w:r w:rsidRPr="003665C9">
              <w:rPr>
                <w:rFonts w:ascii="Helvetica" w:hAnsi="Helvetica"/>
                <w:sz w:val="20"/>
                <w:szCs w:val="20"/>
                <w:lang w:val="es-ES_tradnl"/>
              </w:rPr>
              <w:t>Obligación</w:t>
            </w:r>
          </w:p>
        </w:tc>
        <w:tc>
          <w:tcPr>
            <w:tcW w:w="3514" w:type="pct"/>
            <w:hideMark/>
          </w:tcPr>
          <w:p w14:paraId="0F1562F3" w14:textId="77777777" w:rsidR="003665C9" w:rsidRPr="003665C9" w:rsidRDefault="003665C9" w:rsidP="003665C9">
            <w:pPr>
              <w:jc w:val="center"/>
              <w:rPr>
                <w:rFonts w:ascii="Helvetica" w:hAnsi="Helvetica"/>
                <w:sz w:val="20"/>
                <w:szCs w:val="20"/>
              </w:rPr>
            </w:pPr>
            <w:r w:rsidRPr="003665C9">
              <w:rPr>
                <w:rFonts w:ascii="Helvetica" w:hAnsi="Helvetica"/>
                <w:sz w:val="20"/>
                <w:szCs w:val="20"/>
                <w:lang w:val="es-ES_tradnl"/>
              </w:rPr>
              <w:t>¿Qué implica?</w:t>
            </w:r>
          </w:p>
        </w:tc>
      </w:tr>
      <w:tr w:rsidR="003665C9" w:rsidRPr="003665C9" w14:paraId="353D817A" w14:textId="77777777" w:rsidTr="003665C9">
        <w:trPr>
          <w:cnfStyle w:val="000000100000" w:firstRow="0" w:lastRow="0" w:firstColumn="0" w:lastColumn="0" w:oddVBand="0" w:evenVBand="0" w:oddHBand="1" w:evenHBand="0" w:firstRowFirstColumn="0" w:firstRowLastColumn="0" w:lastRowFirstColumn="0" w:lastRowLastColumn="0"/>
          <w:trHeight w:val="1883"/>
        </w:trPr>
        <w:tc>
          <w:tcPr>
            <w:tcW w:w="1486" w:type="pct"/>
            <w:hideMark/>
          </w:tcPr>
          <w:p w14:paraId="048A6344" w14:textId="77777777" w:rsidR="003665C9" w:rsidRPr="003665C9" w:rsidRDefault="003665C9" w:rsidP="003665C9">
            <w:pPr>
              <w:jc w:val="both"/>
              <w:rPr>
                <w:rFonts w:ascii="Helvetica" w:hAnsi="Helvetica"/>
                <w:sz w:val="20"/>
                <w:szCs w:val="20"/>
              </w:rPr>
            </w:pPr>
            <w:r w:rsidRPr="003665C9">
              <w:rPr>
                <w:rFonts w:ascii="Helvetica" w:hAnsi="Helvetica"/>
                <w:sz w:val="20"/>
                <w:szCs w:val="20"/>
                <w:lang w:val="es-ES_tradnl"/>
              </w:rPr>
              <w:t>Derecho a un recurso con debido proceso</w:t>
            </w:r>
          </w:p>
        </w:tc>
        <w:tc>
          <w:tcPr>
            <w:tcW w:w="3514" w:type="pct"/>
            <w:hideMark/>
          </w:tcPr>
          <w:p w14:paraId="4C0ECF44" w14:textId="34C48FB5" w:rsidR="003665C9" w:rsidRPr="003665C9" w:rsidRDefault="003665C9" w:rsidP="003665C9">
            <w:pPr>
              <w:numPr>
                <w:ilvl w:val="0"/>
                <w:numId w:val="4"/>
              </w:numPr>
              <w:tabs>
                <w:tab w:val="num" w:pos="720"/>
              </w:tabs>
              <w:jc w:val="both"/>
              <w:rPr>
                <w:rFonts w:ascii="Helvetica" w:hAnsi="Helvetica"/>
                <w:sz w:val="20"/>
                <w:szCs w:val="20"/>
              </w:rPr>
            </w:pPr>
            <w:r w:rsidRPr="003665C9">
              <w:rPr>
                <w:rFonts w:ascii="Helvetica" w:hAnsi="Helvetica"/>
                <w:sz w:val="20"/>
                <w:szCs w:val="20"/>
                <w:lang w:val="es-ES_tradnl"/>
              </w:rPr>
              <w:t>Respetar tod</w:t>
            </w:r>
            <w:r w:rsidR="00A310AF">
              <w:rPr>
                <w:rFonts w:ascii="Helvetica" w:hAnsi="Helvetica"/>
                <w:sz w:val="20"/>
                <w:szCs w:val="20"/>
                <w:lang w:val="es-ES_tradnl"/>
              </w:rPr>
              <w:t>a</w:t>
            </w:r>
            <w:r w:rsidRPr="003665C9">
              <w:rPr>
                <w:rFonts w:ascii="Helvetica" w:hAnsi="Helvetica"/>
                <w:sz w:val="20"/>
                <w:szCs w:val="20"/>
                <w:lang w:val="es-ES_tradnl"/>
              </w:rPr>
              <w:t>s las garantías judiciales del imputado</w:t>
            </w:r>
          </w:p>
          <w:p w14:paraId="6F3239F1" w14:textId="77777777" w:rsidR="003665C9" w:rsidRPr="003665C9" w:rsidRDefault="003665C9" w:rsidP="003665C9">
            <w:pPr>
              <w:numPr>
                <w:ilvl w:val="0"/>
                <w:numId w:val="4"/>
              </w:numPr>
              <w:tabs>
                <w:tab w:val="num" w:pos="720"/>
              </w:tabs>
              <w:jc w:val="both"/>
              <w:rPr>
                <w:rFonts w:ascii="Helvetica" w:hAnsi="Helvetica"/>
                <w:sz w:val="20"/>
                <w:szCs w:val="20"/>
              </w:rPr>
            </w:pPr>
            <w:r w:rsidRPr="003665C9">
              <w:rPr>
                <w:rFonts w:ascii="Helvetica" w:hAnsi="Helvetica"/>
                <w:sz w:val="20"/>
                <w:szCs w:val="20"/>
                <w:lang w:val="es-ES_tradnl"/>
              </w:rPr>
              <w:t>Prohibición de tortura y cualquier otra violación a DH</w:t>
            </w:r>
          </w:p>
          <w:p w14:paraId="74E5D55F" w14:textId="77777777" w:rsidR="003665C9" w:rsidRPr="003665C9" w:rsidRDefault="003665C9" w:rsidP="003665C9">
            <w:pPr>
              <w:numPr>
                <w:ilvl w:val="0"/>
                <w:numId w:val="4"/>
              </w:numPr>
              <w:tabs>
                <w:tab w:val="num" w:pos="720"/>
              </w:tabs>
              <w:jc w:val="both"/>
              <w:rPr>
                <w:rFonts w:ascii="Helvetica" w:hAnsi="Helvetica"/>
                <w:sz w:val="20"/>
                <w:szCs w:val="20"/>
              </w:rPr>
            </w:pPr>
            <w:r w:rsidRPr="003665C9">
              <w:rPr>
                <w:rFonts w:ascii="Helvetica" w:hAnsi="Helvetica"/>
                <w:sz w:val="20"/>
                <w:szCs w:val="20"/>
                <w:lang w:val="es-ES_tradnl"/>
              </w:rPr>
              <w:t>Acceso sencillo y rápido a recursos de cualquier tipo, incluyendo el penal*</w:t>
            </w:r>
          </w:p>
          <w:p w14:paraId="3037A369" w14:textId="77777777" w:rsidR="003665C9" w:rsidRPr="003665C9" w:rsidRDefault="003665C9" w:rsidP="003665C9">
            <w:pPr>
              <w:numPr>
                <w:ilvl w:val="0"/>
                <w:numId w:val="4"/>
              </w:numPr>
              <w:tabs>
                <w:tab w:val="num" w:pos="720"/>
              </w:tabs>
              <w:jc w:val="both"/>
              <w:rPr>
                <w:rFonts w:ascii="Helvetica" w:hAnsi="Helvetica"/>
                <w:sz w:val="20"/>
                <w:szCs w:val="20"/>
              </w:rPr>
            </w:pPr>
            <w:r w:rsidRPr="003665C9">
              <w:rPr>
                <w:rFonts w:ascii="Helvetica" w:hAnsi="Helvetica"/>
                <w:sz w:val="20"/>
                <w:szCs w:val="20"/>
                <w:lang w:val="es-ES_tradnl"/>
              </w:rPr>
              <w:t>Recurso idóneo – que sea capaz de cumplir el objetivo para el que fue creado</w:t>
            </w:r>
          </w:p>
          <w:p w14:paraId="6184BD66" w14:textId="77777777" w:rsidR="003665C9" w:rsidRPr="003665C9" w:rsidRDefault="003665C9" w:rsidP="003665C9">
            <w:pPr>
              <w:numPr>
                <w:ilvl w:val="0"/>
                <w:numId w:val="4"/>
              </w:numPr>
              <w:tabs>
                <w:tab w:val="num" w:pos="720"/>
              </w:tabs>
              <w:jc w:val="both"/>
              <w:rPr>
                <w:rFonts w:ascii="Helvetica" w:hAnsi="Helvetica"/>
                <w:sz w:val="20"/>
                <w:szCs w:val="20"/>
              </w:rPr>
            </w:pPr>
            <w:r w:rsidRPr="003665C9">
              <w:rPr>
                <w:rFonts w:ascii="Helvetica" w:hAnsi="Helvetica"/>
                <w:sz w:val="20"/>
                <w:szCs w:val="20"/>
                <w:lang w:val="es-ES_tradnl"/>
              </w:rPr>
              <w:t>Recurso efectivo – que dé el resultado esperado</w:t>
            </w:r>
          </w:p>
          <w:p w14:paraId="3C62CC1E" w14:textId="73C9DE47" w:rsidR="003665C9" w:rsidRPr="003665C9" w:rsidRDefault="003665C9" w:rsidP="00A310AF">
            <w:pPr>
              <w:rPr>
                <w:rFonts w:ascii="Helvetica" w:hAnsi="Helvetica"/>
                <w:sz w:val="20"/>
                <w:szCs w:val="20"/>
              </w:rPr>
            </w:pPr>
          </w:p>
        </w:tc>
      </w:tr>
      <w:tr w:rsidR="003665C9" w:rsidRPr="003665C9" w14:paraId="6A9640EB" w14:textId="77777777" w:rsidTr="003665C9">
        <w:trPr>
          <w:trHeight w:val="2059"/>
        </w:trPr>
        <w:tc>
          <w:tcPr>
            <w:tcW w:w="1486" w:type="pct"/>
            <w:hideMark/>
          </w:tcPr>
          <w:p w14:paraId="139CF25A" w14:textId="77777777" w:rsidR="003665C9" w:rsidRPr="003665C9" w:rsidRDefault="003665C9" w:rsidP="003665C9">
            <w:pPr>
              <w:jc w:val="both"/>
              <w:rPr>
                <w:rFonts w:ascii="Helvetica" w:hAnsi="Helvetica"/>
                <w:sz w:val="20"/>
                <w:szCs w:val="20"/>
              </w:rPr>
            </w:pPr>
            <w:r w:rsidRPr="003665C9">
              <w:rPr>
                <w:rFonts w:ascii="Helvetica" w:hAnsi="Helvetica"/>
                <w:b/>
                <w:bCs/>
                <w:sz w:val="20"/>
                <w:szCs w:val="20"/>
                <w:lang w:val="es-ES_tradnl"/>
              </w:rPr>
              <w:t>Derecho a una investigación con debida diligencia</w:t>
            </w:r>
          </w:p>
        </w:tc>
        <w:tc>
          <w:tcPr>
            <w:tcW w:w="3514" w:type="pct"/>
            <w:hideMark/>
          </w:tcPr>
          <w:p w14:paraId="070A0FAF" w14:textId="77777777" w:rsidR="003665C9" w:rsidRPr="003665C9" w:rsidRDefault="003665C9" w:rsidP="003665C9">
            <w:pPr>
              <w:numPr>
                <w:ilvl w:val="0"/>
                <w:numId w:val="5"/>
              </w:numPr>
              <w:jc w:val="both"/>
              <w:rPr>
                <w:rFonts w:ascii="Helvetica" w:hAnsi="Helvetica"/>
                <w:sz w:val="20"/>
                <w:szCs w:val="20"/>
              </w:rPr>
            </w:pPr>
            <w:r w:rsidRPr="003665C9">
              <w:rPr>
                <w:rFonts w:ascii="Helvetica" w:hAnsi="Helvetica"/>
                <w:sz w:val="20"/>
                <w:szCs w:val="20"/>
                <w:lang w:val="es-ES_tradnl"/>
              </w:rPr>
              <w:t xml:space="preserve">Uso de todos los recursos a disposición </w:t>
            </w:r>
          </w:p>
          <w:p w14:paraId="28086DC3" w14:textId="77777777" w:rsidR="003665C9" w:rsidRPr="003665C9" w:rsidRDefault="003665C9" w:rsidP="003665C9">
            <w:pPr>
              <w:numPr>
                <w:ilvl w:val="0"/>
                <w:numId w:val="5"/>
              </w:numPr>
              <w:jc w:val="both"/>
              <w:rPr>
                <w:rFonts w:ascii="Helvetica" w:hAnsi="Helvetica"/>
                <w:sz w:val="20"/>
                <w:szCs w:val="20"/>
              </w:rPr>
            </w:pPr>
            <w:r w:rsidRPr="003665C9">
              <w:rPr>
                <w:rFonts w:ascii="Helvetica" w:hAnsi="Helvetica"/>
                <w:b/>
                <w:bCs/>
                <w:sz w:val="20"/>
                <w:szCs w:val="20"/>
                <w:lang w:val="es-ES_tradnl"/>
              </w:rPr>
              <w:t>Análisis sistemático y comprensivo de los hechos (análisis contextual cómo método) – identificación de patrones</w:t>
            </w:r>
          </w:p>
          <w:p w14:paraId="6667ACBA" w14:textId="77777777" w:rsidR="003665C9" w:rsidRPr="003665C9" w:rsidRDefault="003665C9" w:rsidP="003665C9">
            <w:pPr>
              <w:numPr>
                <w:ilvl w:val="0"/>
                <w:numId w:val="5"/>
              </w:numPr>
              <w:jc w:val="both"/>
              <w:rPr>
                <w:rFonts w:ascii="Helvetica" w:hAnsi="Helvetica"/>
                <w:sz w:val="20"/>
                <w:szCs w:val="20"/>
              </w:rPr>
            </w:pPr>
            <w:r w:rsidRPr="003665C9">
              <w:rPr>
                <w:rFonts w:ascii="Helvetica" w:hAnsi="Helvetica"/>
                <w:b/>
                <w:bCs/>
                <w:sz w:val="20"/>
                <w:szCs w:val="20"/>
                <w:lang w:val="es-ES_tradnl"/>
              </w:rPr>
              <w:t>Análisis contextual (como presupuesto para entender el fenómeno)</w:t>
            </w:r>
          </w:p>
          <w:p w14:paraId="325A4213" w14:textId="77777777" w:rsidR="003665C9" w:rsidRPr="003665C9" w:rsidRDefault="003665C9" w:rsidP="003665C9">
            <w:pPr>
              <w:numPr>
                <w:ilvl w:val="0"/>
                <w:numId w:val="5"/>
              </w:numPr>
              <w:jc w:val="both"/>
              <w:rPr>
                <w:rFonts w:ascii="Helvetica" w:hAnsi="Helvetica"/>
                <w:sz w:val="20"/>
                <w:szCs w:val="20"/>
              </w:rPr>
            </w:pPr>
            <w:r w:rsidRPr="003665C9">
              <w:rPr>
                <w:rFonts w:ascii="Helvetica" w:hAnsi="Helvetica"/>
                <w:sz w:val="20"/>
                <w:szCs w:val="20"/>
                <w:lang w:val="es-ES_tradnl"/>
              </w:rPr>
              <w:t>Reforzada tratándose de grupo en situación de vulnerabilidad</w:t>
            </w:r>
          </w:p>
          <w:p w14:paraId="4BA598F6" w14:textId="77777777" w:rsidR="003665C9" w:rsidRPr="003665C9" w:rsidRDefault="003665C9" w:rsidP="003665C9">
            <w:pPr>
              <w:numPr>
                <w:ilvl w:val="0"/>
                <w:numId w:val="5"/>
              </w:numPr>
              <w:jc w:val="both"/>
              <w:rPr>
                <w:rFonts w:ascii="Helvetica" w:hAnsi="Helvetica"/>
                <w:sz w:val="20"/>
                <w:szCs w:val="20"/>
              </w:rPr>
            </w:pPr>
            <w:r w:rsidRPr="003665C9">
              <w:rPr>
                <w:rFonts w:ascii="Helvetica" w:hAnsi="Helvetica"/>
                <w:sz w:val="20"/>
                <w:szCs w:val="20"/>
                <w:lang w:val="es-ES_tradnl"/>
              </w:rPr>
              <w:t>Estructuras que hicieron posible la desaparición</w:t>
            </w:r>
          </w:p>
          <w:p w14:paraId="2AE9E8D7" w14:textId="77777777" w:rsidR="003665C9" w:rsidRPr="003665C9" w:rsidRDefault="003665C9" w:rsidP="003665C9">
            <w:pPr>
              <w:numPr>
                <w:ilvl w:val="0"/>
                <w:numId w:val="5"/>
              </w:numPr>
              <w:jc w:val="both"/>
              <w:rPr>
                <w:rFonts w:ascii="Helvetica" w:hAnsi="Helvetica"/>
                <w:sz w:val="20"/>
                <w:szCs w:val="20"/>
              </w:rPr>
            </w:pPr>
            <w:r w:rsidRPr="003665C9">
              <w:rPr>
                <w:rFonts w:ascii="Helvetica" w:hAnsi="Helvetica"/>
                <w:sz w:val="20"/>
                <w:szCs w:val="20"/>
                <w:lang w:val="es-ES_tradnl"/>
              </w:rPr>
              <w:t>Autores materiales, intelectuales y beneficiarios</w:t>
            </w:r>
          </w:p>
        </w:tc>
      </w:tr>
      <w:tr w:rsidR="003665C9" w:rsidRPr="003665C9" w14:paraId="0E47699B" w14:textId="77777777" w:rsidTr="003665C9">
        <w:trPr>
          <w:cnfStyle w:val="000000100000" w:firstRow="0" w:lastRow="0" w:firstColumn="0" w:lastColumn="0" w:oddVBand="0" w:evenVBand="0" w:oddHBand="1" w:evenHBand="0" w:firstRowFirstColumn="0" w:firstRowLastColumn="0" w:lastRowFirstColumn="0" w:lastRowLastColumn="0"/>
          <w:trHeight w:val="368"/>
        </w:trPr>
        <w:tc>
          <w:tcPr>
            <w:tcW w:w="1486" w:type="pct"/>
            <w:hideMark/>
          </w:tcPr>
          <w:p w14:paraId="214555C8" w14:textId="77777777" w:rsidR="003665C9" w:rsidRPr="003665C9" w:rsidRDefault="003665C9" w:rsidP="003665C9">
            <w:pPr>
              <w:jc w:val="both"/>
              <w:rPr>
                <w:rFonts w:ascii="Helvetica" w:hAnsi="Helvetica"/>
                <w:sz w:val="20"/>
                <w:szCs w:val="20"/>
              </w:rPr>
            </w:pPr>
            <w:r w:rsidRPr="003665C9">
              <w:rPr>
                <w:rFonts w:ascii="Helvetica" w:hAnsi="Helvetica"/>
                <w:sz w:val="20"/>
                <w:szCs w:val="20"/>
                <w:lang w:val="es-ES_tradnl"/>
              </w:rPr>
              <w:t>Sanción (no derecho)</w:t>
            </w:r>
          </w:p>
        </w:tc>
        <w:tc>
          <w:tcPr>
            <w:tcW w:w="3514" w:type="pct"/>
            <w:hideMark/>
          </w:tcPr>
          <w:p w14:paraId="7BF8AE66" w14:textId="77777777" w:rsidR="003665C9" w:rsidRPr="003665C9" w:rsidRDefault="003665C9" w:rsidP="003665C9">
            <w:pPr>
              <w:numPr>
                <w:ilvl w:val="0"/>
                <w:numId w:val="6"/>
              </w:numPr>
              <w:tabs>
                <w:tab w:val="num" w:pos="720"/>
              </w:tabs>
              <w:jc w:val="both"/>
              <w:rPr>
                <w:rFonts w:ascii="Helvetica" w:hAnsi="Helvetica"/>
                <w:sz w:val="20"/>
                <w:szCs w:val="20"/>
              </w:rPr>
            </w:pPr>
            <w:r w:rsidRPr="003665C9">
              <w:rPr>
                <w:rFonts w:ascii="Helvetica" w:hAnsi="Helvetica"/>
                <w:sz w:val="20"/>
                <w:szCs w:val="20"/>
                <w:lang w:val="es-ES_tradnl"/>
              </w:rPr>
              <w:t>Proporcionalidad de la pena (daño – pena)</w:t>
            </w:r>
          </w:p>
        </w:tc>
      </w:tr>
      <w:tr w:rsidR="003665C9" w:rsidRPr="003665C9" w14:paraId="177DA14F" w14:textId="77777777" w:rsidTr="003665C9">
        <w:trPr>
          <w:trHeight w:val="368"/>
        </w:trPr>
        <w:tc>
          <w:tcPr>
            <w:tcW w:w="1486" w:type="pct"/>
          </w:tcPr>
          <w:p w14:paraId="5F24B0A2" w14:textId="1E1706FE" w:rsidR="003665C9" w:rsidRPr="003665C9" w:rsidRDefault="007E18CB" w:rsidP="003665C9">
            <w:pPr>
              <w:jc w:val="both"/>
              <w:rPr>
                <w:rFonts w:ascii="Helvetica" w:hAnsi="Helvetica"/>
                <w:sz w:val="20"/>
                <w:szCs w:val="20"/>
                <w:lang w:val="es-ES_tradnl"/>
              </w:rPr>
            </w:pPr>
            <w:r>
              <w:rPr>
                <w:rFonts w:ascii="Helvetica" w:hAnsi="Helvetica"/>
                <w:sz w:val="20"/>
                <w:szCs w:val="20"/>
                <w:lang w:val="es-ES_tradnl"/>
              </w:rPr>
              <w:t>Búsqueda judicial</w:t>
            </w:r>
          </w:p>
        </w:tc>
        <w:tc>
          <w:tcPr>
            <w:tcW w:w="3514" w:type="pct"/>
          </w:tcPr>
          <w:p w14:paraId="09EA872E" w14:textId="77777777" w:rsidR="003665C9" w:rsidRPr="00A310AF" w:rsidRDefault="007E18CB" w:rsidP="007E18CB">
            <w:pPr>
              <w:numPr>
                <w:ilvl w:val="0"/>
                <w:numId w:val="6"/>
              </w:numPr>
              <w:jc w:val="both"/>
              <w:rPr>
                <w:rFonts w:ascii="Helvetica" w:hAnsi="Helvetica"/>
                <w:sz w:val="20"/>
                <w:szCs w:val="20"/>
              </w:rPr>
            </w:pPr>
            <w:r w:rsidRPr="007E18CB">
              <w:rPr>
                <w:rFonts w:ascii="Helvetica" w:hAnsi="Helvetica"/>
                <w:sz w:val="20"/>
                <w:szCs w:val="20"/>
                <w:lang w:val="es-ES_tradnl"/>
              </w:rPr>
              <w:t>Encontrar a la víctima o sus restos y, en su caso, identificación y devolución a sus familiares</w:t>
            </w:r>
          </w:p>
          <w:p w14:paraId="1D992719" w14:textId="22614D98" w:rsidR="00A310AF" w:rsidRPr="007E18CB" w:rsidRDefault="00A310AF" w:rsidP="00A310AF">
            <w:pPr>
              <w:ind w:left="360"/>
              <w:jc w:val="both"/>
              <w:rPr>
                <w:rFonts w:ascii="Helvetica" w:hAnsi="Helvetica"/>
                <w:sz w:val="20"/>
                <w:szCs w:val="20"/>
              </w:rPr>
            </w:pPr>
          </w:p>
        </w:tc>
      </w:tr>
      <w:tr w:rsidR="007E18CB" w:rsidRPr="003665C9" w14:paraId="6386ACF9" w14:textId="77777777" w:rsidTr="003665C9">
        <w:trPr>
          <w:cnfStyle w:val="000000100000" w:firstRow="0" w:lastRow="0" w:firstColumn="0" w:lastColumn="0" w:oddVBand="0" w:evenVBand="0" w:oddHBand="1" w:evenHBand="0" w:firstRowFirstColumn="0" w:firstRowLastColumn="0" w:lastRowFirstColumn="0" w:lastRowLastColumn="0"/>
          <w:trHeight w:val="368"/>
        </w:trPr>
        <w:tc>
          <w:tcPr>
            <w:tcW w:w="1486" w:type="pct"/>
          </w:tcPr>
          <w:p w14:paraId="1851CA54" w14:textId="2DCB129F" w:rsidR="007E18CB" w:rsidRDefault="007E18CB" w:rsidP="003665C9">
            <w:pPr>
              <w:jc w:val="both"/>
              <w:rPr>
                <w:rFonts w:ascii="Helvetica" w:hAnsi="Helvetica"/>
                <w:sz w:val="20"/>
                <w:szCs w:val="20"/>
                <w:lang w:val="es-ES_tradnl"/>
              </w:rPr>
            </w:pPr>
            <w:r>
              <w:rPr>
                <w:rFonts w:ascii="Helvetica" w:hAnsi="Helvetica"/>
                <w:sz w:val="20"/>
                <w:szCs w:val="20"/>
                <w:lang w:val="es-ES_tradnl"/>
              </w:rPr>
              <w:t>Participación de las familias</w:t>
            </w:r>
          </w:p>
        </w:tc>
        <w:tc>
          <w:tcPr>
            <w:tcW w:w="3514" w:type="pct"/>
          </w:tcPr>
          <w:p w14:paraId="704E3069" w14:textId="77777777" w:rsidR="007E18CB" w:rsidRPr="007E18CB" w:rsidRDefault="007E18CB" w:rsidP="007E18CB">
            <w:pPr>
              <w:numPr>
                <w:ilvl w:val="0"/>
                <w:numId w:val="6"/>
              </w:numPr>
              <w:jc w:val="both"/>
              <w:rPr>
                <w:rFonts w:ascii="Helvetica" w:hAnsi="Helvetica"/>
                <w:sz w:val="20"/>
                <w:szCs w:val="20"/>
              </w:rPr>
            </w:pPr>
            <w:r w:rsidRPr="007E18CB">
              <w:rPr>
                <w:rFonts w:ascii="Helvetica" w:hAnsi="Helvetica"/>
                <w:sz w:val="20"/>
                <w:szCs w:val="20"/>
                <w:lang w:val="es-ES_tradnl"/>
              </w:rPr>
              <w:t>Acceso a expedientes</w:t>
            </w:r>
          </w:p>
          <w:p w14:paraId="02A418F2" w14:textId="77777777" w:rsidR="007E18CB" w:rsidRPr="007E18CB" w:rsidRDefault="007E18CB" w:rsidP="007E18CB">
            <w:pPr>
              <w:numPr>
                <w:ilvl w:val="0"/>
                <w:numId w:val="6"/>
              </w:numPr>
              <w:tabs>
                <w:tab w:val="num" w:pos="720"/>
              </w:tabs>
              <w:jc w:val="both"/>
              <w:rPr>
                <w:rFonts w:ascii="Helvetica" w:hAnsi="Helvetica"/>
                <w:sz w:val="20"/>
                <w:szCs w:val="20"/>
              </w:rPr>
            </w:pPr>
            <w:r w:rsidRPr="007E18CB">
              <w:rPr>
                <w:rFonts w:ascii="Helvetica" w:hAnsi="Helvetica"/>
                <w:sz w:val="20"/>
                <w:szCs w:val="20"/>
                <w:lang w:val="es-ES_tradnl"/>
              </w:rPr>
              <w:t>Brindar pruebas y que sean tomadas en consideración</w:t>
            </w:r>
          </w:p>
          <w:p w14:paraId="47E41CF5" w14:textId="77777777" w:rsidR="007E18CB" w:rsidRPr="00A310AF" w:rsidRDefault="007E18CB" w:rsidP="007E18CB">
            <w:pPr>
              <w:numPr>
                <w:ilvl w:val="0"/>
                <w:numId w:val="6"/>
              </w:numPr>
              <w:tabs>
                <w:tab w:val="num" w:pos="720"/>
              </w:tabs>
              <w:jc w:val="both"/>
              <w:rPr>
                <w:rFonts w:ascii="Helvetica" w:hAnsi="Helvetica"/>
                <w:sz w:val="20"/>
                <w:szCs w:val="20"/>
              </w:rPr>
            </w:pPr>
            <w:r w:rsidRPr="007E18CB">
              <w:rPr>
                <w:rFonts w:ascii="Helvetica" w:hAnsi="Helvetica"/>
                <w:sz w:val="20"/>
                <w:szCs w:val="20"/>
                <w:lang w:val="es-ES_tradnl"/>
              </w:rPr>
              <w:t>Participar en el juici</w:t>
            </w:r>
            <w:r w:rsidR="00A310AF">
              <w:rPr>
                <w:rFonts w:ascii="Helvetica" w:hAnsi="Helvetica"/>
                <w:sz w:val="20"/>
                <w:szCs w:val="20"/>
                <w:lang w:val="es-ES_tradnl"/>
              </w:rPr>
              <w:t>o</w:t>
            </w:r>
          </w:p>
          <w:p w14:paraId="14CBA507" w14:textId="3F5C02CC" w:rsidR="00A310AF" w:rsidRPr="007E18CB" w:rsidRDefault="00A310AF" w:rsidP="00A310AF">
            <w:pPr>
              <w:ind w:left="360"/>
              <w:jc w:val="both"/>
              <w:rPr>
                <w:rFonts w:ascii="Helvetica" w:hAnsi="Helvetica"/>
                <w:sz w:val="20"/>
                <w:szCs w:val="20"/>
              </w:rPr>
            </w:pPr>
          </w:p>
        </w:tc>
      </w:tr>
    </w:tbl>
    <w:p w14:paraId="579A6F15" w14:textId="5AA4529E" w:rsidR="004F29BA" w:rsidRPr="00962293" w:rsidRDefault="004F29BA" w:rsidP="004F29BA">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w:t>
      </w:r>
    </w:p>
    <w:p w14:paraId="03227007" w14:textId="2C52DB7D" w:rsidR="003665C9" w:rsidRDefault="003665C9" w:rsidP="00107CDD">
      <w:pPr>
        <w:spacing w:line="360" w:lineRule="auto"/>
        <w:jc w:val="both"/>
        <w:rPr>
          <w:rFonts w:ascii="Helvetica" w:hAnsi="Helvetica"/>
          <w:sz w:val="22"/>
          <w:szCs w:val="22"/>
          <w:lang w:val="es-ES"/>
        </w:rPr>
      </w:pPr>
    </w:p>
    <w:p w14:paraId="01BB180A" w14:textId="3EC183DE" w:rsidR="00104573" w:rsidRDefault="00104573" w:rsidP="00107CDD">
      <w:pPr>
        <w:spacing w:line="360" w:lineRule="auto"/>
        <w:jc w:val="both"/>
        <w:rPr>
          <w:rFonts w:ascii="Helvetica" w:hAnsi="Helvetica"/>
          <w:sz w:val="22"/>
          <w:szCs w:val="22"/>
          <w:lang w:val="es-ES"/>
        </w:rPr>
      </w:pPr>
      <w:r>
        <w:rPr>
          <w:rFonts w:ascii="Helvetica" w:hAnsi="Helvetica"/>
          <w:sz w:val="22"/>
          <w:szCs w:val="22"/>
          <w:lang w:val="es-ES"/>
        </w:rPr>
        <w:t xml:space="preserve">Los derechos a la verdad y a la justicia son resultados del cumplimiento del acceso a la justicia y se logran a partir de una buena investigación. Así, la investigación debe permitir saber qué pasó con la víctima, quiénes fueron los perpetradores (los distintos niveles), las razones de la desaparición y qué estructuras permitieron la desaparición. Y todo ello debe servir para imputar a todos los perpetradores el delito, seguir un juicio con las debidas garantías y lograr la emisión de una sentencia. La reparación, por su parte, es la </w:t>
      </w:r>
      <w:r>
        <w:rPr>
          <w:rFonts w:ascii="Helvetica" w:hAnsi="Helvetica"/>
          <w:sz w:val="22"/>
          <w:szCs w:val="22"/>
          <w:lang w:val="es-ES"/>
        </w:rPr>
        <w:lastRenderedPageBreak/>
        <w:t xml:space="preserve">consecuencia de la violación a derechos humanos ocurrida con la desaparición y su medida dependerá también de los hechos y los daños producidos. </w:t>
      </w:r>
    </w:p>
    <w:p w14:paraId="20ECB6FD" w14:textId="660451F5" w:rsidR="00E12728" w:rsidRDefault="00E12728" w:rsidP="00107CDD">
      <w:pPr>
        <w:spacing w:line="360" w:lineRule="auto"/>
        <w:jc w:val="both"/>
        <w:rPr>
          <w:rFonts w:ascii="Helvetica" w:hAnsi="Helvetica"/>
          <w:sz w:val="22"/>
          <w:szCs w:val="22"/>
          <w:lang w:val="es-ES"/>
        </w:rPr>
      </w:pPr>
      <w:r>
        <w:rPr>
          <w:rFonts w:ascii="Helvetica" w:hAnsi="Helvetica"/>
          <w:sz w:val="22"/>
          <w:szCs w:val="22"/>
          <w:lang w:val="es-ES"/>
        </w:rPr>
        <w:t xml:space="preserve">Establecido el marco de estándares que informan el análisis, a </w:t>
      </w:r>
      <w:proofErr w:type="gramStart"/>
      <w:r>
        <w:rPr>
          <w:rFonts w:ascii="Helvetica" w:hAnsi="Helvetica"/>
          <w:sz w:val="22"/>
          <w:szCs w:val="22"/>
          <w:lang w:val="es-ES"/>
        </w:rPr>
        <w:t>continuación</w:t>
      </w:r>
      <w:proofErr w:type="gramEnd"/>
      <w:r>
        <w:rPr>
          <w:rFonts w:ascii="Helvetica" w:hAnsi="Helvetica"/>
          <w:sz w:val="22"/>
          <w:szCs w:val="22"/>
          <w:lang w:val="es-ES"/>
        </w:rPr>
        <w:t xml:space="preserve"> se desarrolla la metodología utilizada.</w:t>
      </w:r>
    </w:p>
    <w:p w14:paraId="2719C18A" w14:textId="77777777" w:rsidR="00F91BEF" w:rsidRPr="000E00CA" w:rsidRDefault="00876CAD" w:rsidP="000E00CA">
      <w:pPr>
        <w:pStyle w:val="Ttulo1"/>
      </w:pPr>
      <w:bookmarkStart w:id="4" w:name="_Toc52293194"/>
      <w:r w:rsidRPr="000E00CA">
        <w:t>2</w:t>
      </w:r>
      <w:r w:rsidR="00F91BEF" w:rsidRPr="000E00CA">
        <w:t>. Metodología</w:t>
      </w:r>
      <w:bookmarkEnd w:id="4"/>
    </w:p>
    <w:p w14:paraId="0A52DC9C" w14:textId="6911A65A" w:rsidR="00E12BEE" w:rsidRDefault="00EC52A6" w:rsidP="00B307A6">
      <w:pPr>
        <w:spacing w:before="240" w:line="360" w:lineRule="auto"/>
        <w:jc w:val="both"/>
        <w:rPr>
          <w:rFonts w:ascii="Helvetica" w:hAnsi="Helvetica"/>
          <w:sz w:val="22"/>
          <w:szCs w:val="22"/>
          <w:lang w:val="es-ES"/>
        </w:rPr>
      </w:pPr>
      <w:r>
        <w:rPr>
          <w:rFonts w:ascii="Helvetica" w:hAnsi="Helvetica"/>
          <w:sz w:val="22"/>
          <w:szCs w:val="22"/>
          <w:lang w:val="es-ES"/>
        </w:rPr>
        <w:t>E</w:t>
      </w:r>
      <w:r w:rsidR="00A7133C">
        <w:rPr>
          <w:rFonts w:ascii="Helvetica" w:hAnsi="Helvetica"/>
          <w:sz w:val="22"/>
          <w:szCs w:val="22"/>
          <w:lang w:val="es-ES"/>
        </w:rPr>
        <w:t xml:space="preserve">l informe se basa en el análisis de </w:t>
      </w:r>
      <w:r w:rsidR="00634020">
        <w:rPr>
          <w:rFonts w:ascii="Helvetica" w:hAnsi="Helvetica"/>
          <w:sz w:val="22"/>
          <w:szCs w:val="22"/>
          <w:lang w:val="es-ES"/>
        </w:rPr>
        <w:t>2</w:t>
      </w:r>
      <w:r w:rsidR="00624EE2">
        <w:rPr>
          <w:rFonts w:ascii="Helvetica" w:hAnsi="Helvetica"/>
          <w:sz w:val="22"/>
          <w:szCs w:val="22"/>
          <w:lang w:val="es-ES"/>
        </w:rPr>
        <w:t>8</w:t>
      </w:r>
      <w:r w:rsidR="008E0530">
        <w:rPr>
          <w:rFonts w:ascii="Helvetica" w:hAnsi="Helvetica"/>
          <w:sz w:val="22"/>
          <w:szCs w:val="22"/>
          <w:lang w:val="es-ES"/>
        </w:rPr>
        <w:t xml:space="preserve"> sentencias</w:t>
      </w:r>
      <w:r w:rsidR="00107CDD">
        <w:rPr>
          <w:rFonts w:ascii="Helvetica" w:hAnsi="Helvetica"/>
          <w:sz w:val="22"/>
          <w:szCs w:val="22"/>
          <w:lang w:val="es-ES"/>
        </w:rPr>
        <w:t xml:space="preserve">, </w:t>
      </w:r>
      <w:r w:rsidR="00555047">
        <w:rPr>
          <w:rFonts w:ascii="Helvetica" w:hAnsi="Helvetica"/>
          <w:sz w:val="22"/>
          <w:szCs w:val="22"/>
          <w:lang w:val="es-ES"/>
        </w:rPr>
        <w:t>1</w:t>
      </w:r>
      <w:r w:rsidR="00624EE2">
        <w:rPr>
          <w:rFonts w:ascii="Helvetica" w:hAnsi="Helvetica"/>
          <w:sz w:val="22"/>
          <w:szCs w:val="22"/>
          <w:lang w:val="es-ES"/>
        </w:rPr>
        <w:t>5</w:t>
      </w:r>
      <w:r w:rsidR="00555047">
        <w:rPr>
          <w:rFonts w:ascii="Helvetica" w:hAnsi="Helvetica"/>
          <w:sz w:val="22"/>
          <w:szCs w:val="22"/>
          <w:lang w:val="es-ES"/>
        </w:rPr>
        <w:t xml:space="preserve"> </w:t>
      </w:r>
      <w:r w:rsidR="00107CDD">
        <w:rPr>
          <w:rFonts w:ascii="Helvetica" w:hAnsi="Helvetica"/>
          <w:sz w:val="22"/>
          <w:szCs w:val="22"/>
          <w:lang w:val="es-ES"/>
        </w:rPr>
        <w:t xml:space="preserve">que </w:t>
      </w:r>
      <w:r w:rsidR="00555047">
        <w:rPr>
          <w:rFonts w:ascii="Helvetica" w:hAnsi="Helvetica"/>
          <w:sz w:val="22"/>
          <w:szCs w:val="22"/>
          <w:lang w:val="es-ES"/>
        </w:rPr>
        <w:t>corresponden al fuero federal y 1</w:t>
      </w:r>
      <w:r w:rsidR="00DA60F6">
        <w:rPr>
          <w:rFonts w:ascii="Helvetica" w:hAnsi="Helvetica"/>
          <w:sz w:val="22"/>
          <w:szCs w:val="22"/>
          <w:lang w:val="es-ES"/>
        </w:rPr>
        <w:t>3</w:t>
      </w:r>
      <w:r w:rsidR="00555047">
        <w:rPr>
          <w:rFonts w:ascii="Helvetica" w:hAnsi="Helvetica"/>
          <w:sz w:val="22"/>
          <w:szCs w:val="22"/>
          <w:lang w:val="es-ES"/>
        </w:rPr>
        <w:t xml:space="preserve"> al ámbito local</w:t>
      </w:r>
      <w:r w:rsidR="00237621">
        <w:rPr>
          <w:rFonts w:ascii="Helvetica" w:hAnsi="Helvetica"/>
          <w:sz w:val="22"/>
          <w:szCs w:val="22"/>
          <w:lang w:val="es-ES"/>
        </w:rPr>
        <w:t xml:space="preserve">. El informe </w:t>
      </w:r>
      <w:r w:rsidR="00107CDD">
        <w:rPr>
          <w:rFonts w:ascii="Helvetica" w:hAnsi="Helvetica"/>
          <w:sz w:val="22"/>
          <w:szCs w:val="22"/>
          <w:lang w:val="es-ES"/>
        </w:rPr>
        <w:t>busca determinar en qué medida se cumple el derecho de acceso a la justicia de las víctimas de desaparición y sus familias</w:t>
      </w:r>
      <w:r w:rsidR="00237621">
        <w:rPr>
          <w:rFonts w:ascii="Helvetica" w:hAnsi="Helvetica"/>
          <w:sz w:val="22"/>
          <w:szCs w:val="22"/>
          <w:lang w:val="es-ES"/>
        </w:rPr>
        <w:t xml:space="preserve">, para así identificar qué tanta verdad y justicia aportan dichas sentencias. </w:t>
      </w:r>
    </w:p>
    <w:p w14:paraId="27E613EE" w14:textId="07A24E76" w:rsidR="00846254" w:rsidRPr="00B17C50" w:rsidRDefault="008E0530" w:rsidP="009E776C">
      <w:pPr>
        <w:spacing w:before="240" w:line="360" w:lineRule="auto"/>
        <w:jc w:val="both"/>
        <w:rPr>
          <w:rFonts w:ascii="Helvetica" w:hAnsi="Helvetica"/>
          <w:sz w:val="22"/>
          <w:szCs w:val="22"/>
          <w:lang w:val="es-ES"/>
        </w:rPr>
      </w:pPr>
      <w:r>
        <w:rPr>
          <w:rFonts w:ascii="Helvetica" w:hAnsi="Helvetica"/>
          <w:sz w:val="22"/>
          <w:szCs w:val="22"/>
        </w:rPr>
        <w:t>Para la obtención de las sentencias se presentaron solicitudes de acceso a la información a todos los poderes judiciales del país</w:t>
      </w:r>
      <w:r w:rsidR="00096323">
        <w:rPr>
          <w:rFonts w:ascii="Helvetica" w:hAnsi="Helvetica"/>
          <w:sz w:val="22"/>
          <w:szCs w:val="22"/>
        </w:rPr>
        <w:t xml:space="preserve"> y al Consejo de la Judicatura Federal</w:t>
      </w:r>
      <w:r>
        <w:rPr>
          <w:rFonts w:ascii="Helvetica" w:hAnsi="Helvetica"/>
          <w:sz w:val="22"/>
          <w:szCs w:val="22"/>
        </w:rPr>
        <w:t xml:space="preserve">, </w:t>
      </w:r>
      <w:r w:rsidR="00E12728">
        <w:rPr>
          <w:rFonts w:ascii="Helvetica" w:hAnsi="Helvetica"/>
          <w:sz w:val="22"/>
          <w:szCs w:val="22"/>
        </w:rPr>
        <w:t xml:space="preserve">de varias entidades federativas no se tuvo respuesta </w:t>
      </w:r>
      <w:r>
        <w:rPr>
          <w:rFonts w:ascii="Helvetica" w:hAnsi="Helvetica"/>
          <w:sz w:val="22"/>
          <w:szCs w:val="22"/>
        </w:rPr>
        <w:t xml:space="preserve"> o bien manifestaron no contar con sentencias por el delito de desaparición forzada.</w:t>
      </w:r>
      <w:r>
        <w:rPr>
          <w:rStyle w:val="Refdenotaalpie"/>
          <w:rFonts w:ascii="Helvetica" w:hAnsi="Helvetica"/>
          <w:sz w:val="22"/>
          <w:szCs w:val="22"/>
        </w:rPr>
        <w:footnoteReference w:id="1"/>
      </w:r>
      <w:r>
        <w:rPr>
          <w:rFonts w:ascii="Helvetica" w:hAnsi="Helvetica"/>
          <w:sz w:val="22"/>
          <w:szCs w:val="22"/>
        </w:rPr>
        <w:t xml:space="preserve"> </w:t>
      </w:r>
      <w:r w:rsidR="00096323">
        <w:rPr>
          <w:rFonts w:ascii="Helvetica" w:hAnsi="Helvetica"/>
          <w:sz w:val="22"/>
          <w:szCs w:val="22"/>
        </w:rPr>
        <w:t>Dichas solicitudes arrojaron la mayoría de las sentencias</w:t>
      </w:r>
      <w:r w:rsidR="00BE73EA">
        <w:rPr>
          <w:rFonts w:ascii="Helvetica" w:hAnsi="Helvetica"/>
          <w:sz w:val="22"/>
          <w:szCs w:val="22"/>
        </w:rPr>
        <w:t xml:space="preserve"> (2</w:t>
      </w:r>
      <w:r w:rsidR="009A01CD">
        <w:rPr>
          <w:rFonts w:ascii="Helvetica" w:hAnsi="Helvetica"/>
          <w:sz w:val="22"/>
          <w:szCs w:val="22"/>
        </w:rPr>
        <w:t>2</w:t>
      </w:r>
      <w:r w:rsidR="00BE73EA">
        <w:rPr>
          <w:rFonts w:ascii="Helvetica" w:hAnsi="Helvetica"/>
          <w:sz w:val="22"/>
          <w:szCs w:val="22"/>
        </w:rPr>
        <w:t>)</w:t>
      </w:r>
      <w:r w:rsidR="00096323">
        <w:rPr>
          <w:rFonts w:ascii="Helvetica" w:hAnsi="Helvetica"/>
          <w:sz w:val="22"/>
          <w:szCs w:val="22"/>
        </w:rPr>
        <w:t xml:space="preserve"> con que se cuenta (</w:t>
      </w:r>
      <w:r w:rsidR="00BE73EA">
        <w:rPr>
          <w:rFonts w:ascii="Helvetica" w:hAnsi="Helvetica"/>
          <w:sz w:val="22"/>
          <w:szCs w:val="22"/>
        </w:rPr>
        <w:t>véase el anexo</w:t>
      </w:r>
      <w:r w:rsidR="00096323">
        <w:rPr>
          <w:rFonts w:ascii="Helvetica" w:hAnsi="Helvetica"/>
          <w:sz w:val="22"/>
          <w:szCs w:val="22"/>
        </w:rPr>
        <w:t>)</w:t>
      </w:r>
      <w:r w:rsidR="00BE73EA">
        <w:rPr>
          <w:rFonts w:ascii="Helvetica" w:hAnsi="Helvetica"/>
          <w:sz w:val="22"/>
          <w:szCs w:val="22"/>
        </w:rPr>
        <w:t>.</w:t>
      </w:r>
      <w:r>
        <w:rPr>
          <w:rFonts w:ascii="Helvetica" w:hAnsi="Helvetica"/>
          <w:sz w:val="22"/>
          <w:szCs w:val="22"/>
        </w:rPr>
        <w:t xml:space="preserve"> </w:t>
      </w:r>
      <w:r w:rsidR="00846254" w:rsidRPr="00B17C50">
        <w:rPr>
          <w:rFonts w:ascii="Helvetica" w:hAnsi="Helvetica"/>
          <w:sz w:val="22"/>
          <w:szCs w:val="22"/>
        </w:rPr>
        <w:t>En algunos casos (3) fue necesario emplear recursos de revisión para que las autoridades entregaran la información solicitada.</w:t>
      </w:r>
      <w:r w:rsidR="00BE73EA">
        <w:rPr>
          <w:rFonts w:ascii="Helvetica" w:hAnsi="Helvetica"/>
          <w:sz w:val="22"/>
          <w:szCs w:val="22"/>
        </w:rPr>
        <w:t xml:space="preserve"> </w:t>
      </w:r>
      <w:r w:rsidR="009E776C">
        <w:rPr>
          <w:rFonts w:ascii="Helvetica" w:hAnsi="Helvetica"/>
          <w:sz w:val="22"/>
          <w:szCs w:val="22"/>
        </w:rPr>
        <w:t>E</w:t>
      </w:r>
      <w:r w:rsidR="00846254" w:rsidRPr="00B17C50">
        <w:rPr>
          <w:rFonts w:ascii="Helvetica" w:hAnsi="Helvetica"/>
          <w:sz w:val="22"/>
          <w:szCs w:val="22"/>
        </w:rPr>
        <w:t>l resto de las sentencias se obtuvieron gracias a la colaboración tanto de servidores públicos como de investigadores</w:t>
      </w:r>
      <w:r w:rsidR="00BE73EA">
        <w:rPr>
          <w:rFonts w:ascii="Helvetica" w:hAnsi="Helvetica"/>
          <w:sz w:val="22"/>
          <w:szCs w:val="22"/>
        </w:rPr>
        <w:t xml:space="preserve"> </w:t>
      </w:r>
      <w:r w:rsidR="00846254" w:rsidRPr="00B17C50">
        <w:rPr>
          <w:rFonts w:ascii="Helvetica" w:hAnsi="Helvetica"/>
          <w:sz w:val="22"/>
          <w:szCs w:val="22"/>
        </w:rPr>
        <w:t>(</w:t>
      </w:r>
      <w:r w:rsidR="00624EE2">
        <w:rPr>
          <w:rFonts w:ascii="Helvetica" w:hAnsi="Helvetica"/>
          <w:sz w:val="22"/>
          <w:szCs w:val="22"/>
        </w:rPr>
        <w:t>6</w:t>
      </w:r>
      <w:r w:rsidR="00846254" w:rsidRPr="00B17C50">
        <w:rPr>
          <w:rFonts w:ascii="Helvetica" w:hAnsi="Helvetica"/>
          <w:sz w:val="22"/>
          <w:szCs w:val="22"/>
        </w:rPr>
        <w:t>) que contaban con sentencias y tuvieron a bien compartirlas con el Observatorio.</w:t>
      </w:r>
      <w:r w:rsidR="009E776C">
        <w:rPr>
          <w:rStyle w:val="Refdenotaalpie"/>
          <w:rFonts w:ascii="Helvetica" w:hAnsi="Helvetica"/>
          <w:sz w:val="22"/>
          <w:szCs w:val="22"/>
        </w:rPr>
        <w:footnoteReference w:id="2"/>
      </w:r>
      <w:r w:rsidR="00846254" w:rsidRPr="00B17C50">
        <w:rPr>
          <w:rFonts w:ascii="Helvetica" w:hAnsi="Helvetica"/>
          <w:sz w:val="22"/>
          <w:szCs w:val="22"/>
        </w:rPr>
        <w:t xml:space="preserve"> En un caso extraordinario fue posible ubicar una sentencia publicada de forma proactiva por el Poder Judicial de Nuevo León.</w:t>
      </w:r>
    </w:p>
    <w:p w14:paraId="40976156" w14:textId="51D9723D" w:rsidR="00B17C50" w:rsidRPr="00B17C50" w:rsidRDefault="00B17C50" w:rsidP="00B17C50">
      <w:pPr>
        <w:spacing w:before="240" w:line="360" w:lineRule="auto"/>
        <w:jc w:val="both"/>
        <w:rPr>
          <w:rFonts w:ascii="Helvetica" w:hAnsi="Helvetica"/>
          <w:sz w:val="22"/>
          <w:szCs w:val="22"/>
        </w:rPr>
      </w:pPr>
      <w:commentRangeStart w:id="5"/>
      <w:r w:rsidRPr="00B17C50">
        <w:rPr>
          <w:rFonts w:ascii="Helvetica" w:hAnsi="Helvetica"/>
          <w:sz w:val="22"/>
          <w:szCs w:val="22"/>
          <w:lang w:val="es-ES"/>
        </w:rPr>
        <w:t xml:space="preserve">El análisis de las sentencias </w:t>
      </w:r>
      <w:r w:rsidR="006833CC">
        <w:rPr>
          <w:rFonts w:ascii="Helvetica" w:hAnsi="Helvetica"/>
          <w:sz w:val="22"/>
          <w:szCs w:val="22"/>
          <w:lang w:val="es-ES"/>
        </w:rPr>
        <w:t>siguió</w:t>
      </w:r>
      <w:r w:rsidRPr="00B17C50">
        <w:rPr>
          <w:rFonts w:ascii="Helvetica" w:hAnsi="Helvetica"/>
          <w:sz w:val="22"/>
          <w:szCs w:val="22"/>
          <w:lang w:val="es-ES"/>
        </w:rPr>
        <w:t xml:space="preserve"> una metodología cualitativa, que </w:t>
      </w:r>
      <w:r w:rsidR="00BE73EA">
        <w:rPr>
          <w:rFonts w:ascii="Helvetica" w:hAnsi="Helvetica"/>
          <w:sz w:val="22"/>
          <w:szCs w:val="22"/>
          <w:lang w:val="es-ES"/>
        </w:rPr>
        <w:t xml:space="preserve">para el caso </w:t>
      </w:r>
      <w:r w:rsidRPr="00B17C50">
        <w:rPr>
          <w:rFonts w:ascii="Helvetica" w:hAnsi="Helvetica"/>
          <w:sz w:val="22"/>
          <w:szCs w:val="22"/>
        </w:rPr>
        <w:t xml:space="preserve">propone un análisis documental del contenido de las </w:t>
      </w:r>
      <w:r w:rsidRPr="00107CDD">
        <w:rPr>
          <w:rFonts w:ascii="Helvetica" w:hAnsi="Helvetica"/>
          <w:sz w:val="22"/>
          <w:szCs w:val="22"/>
        </w:rPr>
        <w:t>sentencias a partir</w:t>
      </w:r>
      <w:r w:rsidRPr="00B17C50">
        <w:rPr>
          <w:rFonts w:ascii="Helvetica" w:hAnsi="Helvetica"/>
          <w:sz w:val="22"/>
          <w:szCs w:val="22"/>
        </w:rPr>
        <w:t xml:space="preserve"> de un instrumento estandarizado, así como un análisis narrativo de los patrones encontrados. </w:t>
      </w:r>
      <w:commentRangeEnd w:id="5"/>
      <w:r w:rsidR="00317D32">
        <w:rPr>
          <w:rStyle w:val="Refdecomentario"/>
        </w:rPr>
        <w:commentReference w:id="5"/>
      </w:r>
    </w:p>
    <w:p w14:paraId="0A7DEBD9" w14:textId="4EB2C71F" w:rsidR="008244B3" w:rsidRDefault="00976907" w:rsidP="00976907">
      <w:pPr>
        <w:spacing w:before="240" w:line="360" w:lineRule="auto"/>
        <w:jc w:val="both"/>
        <w:rPr>
          <w:rFonts w:ascii="Helvetica" w:hAnsi="Helvetica"/>
          <w:sz w:val="22"/>
          <w:szCs w:val="22"/>
        </w:rPr>
      </w:pPr>
      <w:r>
        <w:rPr>
          <w:rFonts w:ascii="Helvetica" w:hAnsi="Helvetica"/>
          <w:sz w:val="22"/>
          <w:szCs w:val="22"/>
        </w:rPr>
        <w:t xml:space="preserve">A fin de asegurar los parámetros de confiabilidad utilizados para el proceso de codificación, las sentencias fueron revisadas por dos investigadoras del proyecto, a partir de dos instrumentos de registro: </w:t>
      </w:r>
      <w:r w:rsidR="00B17C50" w:rsidRPr="00B17C50">
        <w:rPr>
          <w:rFonts w:ascii="Helvetica" w:hAnsi="Helvetica"/>
          <w:sz w:val="22"/>
          <w:szCs w:val="22"/>
        </w:rPr>
        <w:t xml:space="preserve">(i) </w:t>
      </w:r>
      <w:r w:rsidR="00742C57" w:rsidRPr="00B17C50">
        <w:rPr>
          <w:rFonts w:ascii="Helvetica" w:hAnsi="Helvetica"/>
          <w:sz w:val="22"/>
          <w:szCs w:val="22"/>
        </w:rPr>
        <w:t xml:space="preserve">una base de datos para el registro de la información </w:t>
      </w:r>
      <w:r w:rsidR="00B17C50" w:rsidRPr="00B17C50">
        <w:rPr>
          <w:rFonts w:ascii="Helvetica" w:hAnsi="Helvetica"/>
          <w:sz w:val="22"/>
          <w:szCs w:val="22"/>
        </w:rPr>
        <w:t>y (ii)</w:t>
      </w:r>
      <w:r w:rsidR="00742C57">
        <w:rPr>
          <w:rFonts w:ascii="Helvetica" w:hAnsi="Helvetica"/>
          <w:sz w:val="22"/>
          <w:szCs w:val="22"/>
        </w:rPr>
        <w:t xml:space="preserve"> </w:t>
      </w:r>
      <w:r w:rsidR="00742C57" w:rsidRPr="00B17C50">
        <w:rPr>
          <w:rFonts w:ascii="Helvetica" w:hAnsi="Helvetica"/>
          <w:sz w:val="22"/>
          <w:szCs w:val="22"/>
        </w:rPr>
        <w:t>una ficha de análisis por cada sentencia</w:t>
      </w:r>
      <w:r w:rsidR="00B17C50" w:rsidRPr="00B17C50">
        <w:rPr>
          <w:rFonts w:ascii="Helvetica" w:hAnsi="Helvetica"/>
          <w:sz w:val="22"/>
          <w:szCs w:val="22"/>
        </w:rPr>
        <w:t>.</w:t>
      </w:r>
      <w:r>
        <w:rPr>
          <w:rFonts w:ascii="Helvetica" w:hAnsi="Helvetica"/>
          <w:sz w:val="22"/>
          <w:szCs w:val="22"/>
        </w:rPr>
        <w:t xml:space="preserve"> La ficha de análisis de cada sentencia </w:t>
      </w:r>
      <w:r w:rsidRPr="00976907">
        <w:rPr>
          <w:rFonts w:ascii="Helvetica" w:hAnsi="Helvetica"/>
          <w:sz w:val="22"/>
          <w:szCs w:val="22"/>
        </w:rPr>
        <w:t xml:space="preserve">permite a la persona que examina llevar un registro de los hallazgos de cada sentencia, así como </w:t>
      </w:r>
      <w:r w:rsidRPr="00976907">
        <w:rPr>
          <w:rFonts w:ascii="Helvetica" w:hAnsi="Helvetica"/>
          <w:sz w:val="22"/>
          <w:szCs w:val="22"/>
        </w:rPr>
        <w:lastRenderedPageBreak/>
        <w:t>identificar algunas particularidades o párrafos que conviene resaltar</w:t>
      </w:r>
      <w:r w:rsidR="00C6782B">
        <w:rPr>
          <w:rFonts w:ascii="Helvetica" w:hAnsi="Helvetica"/>
          <w:sz w:val="22"/>
          <w:szCs w:val="22"/>
        </w:rPr>
        <w:t xml:space="preserve">. Por su parte, la base de datos concentra la información </w:t>
      </w:r>
      <w:r w:rsidR="008244B3">
        <w:rPr>
          <w:rFonts w:ascii="Helvetica" w:hAnsi="Helvetica"/>
          <w:sz w:val="22"/>
          <w:szCs w:val="22"/>
        </w:rPr>
        <w:t xml:space="preserve">obtenida de cada sentencia de forma sistemática, </w:t>
      </w:r>
      <w:r w:rsidR="00FE72E8">
        <w:rPr>
          <w:rFonts w:ascii="Helvetica" w:hAnsi="Helvetica"/>
          <w:sz w:val="22"/>
          <w:szCs w:val="22"/>
        </w:rPr>
        <w:t xml:space="preserve">por medio de </w:t>
      </w:r>
      <w:r w:rsidR="008244B3">
        <w:rPr>
          <w:rFonts w:ascii="Helvetica" w:hAnsi="Helvetica"/>
          <w:sz w:val="22"/>
          <w:szCs w:val="22"/>
        </w:rPr>
        <w:t xml:space="preserve">un grupo de indicadores construidos a partir de los estándares respecto del acceso a la justicia en casos de desaparición forzada. </w:t>
      </w:r>
    </w:p>
    <w:p w14:paraId="4D1E501F" w14:textId="762D1C1B" w:rsidR="00EC52A6" w:rsidRDefault="00EC52A6" w:rsidP="00EC52A6">
      <w:pPr>
        <w:spacing w:before="240" w:line="360" w:lineRule="auto"/>
        <w:jc w:val="both"/>
        <w:rPr>
          <w:rFonts w:ascii="Helvetica" w:hAnsi="Helvetica"/>
          <w:sz w:val="22"/>
          <w:szCs w:val="22"/>
        </w:rPr>
      </w:pPr>
      <w:r>
        <w:rPr>
          <w:rFonts w:ascii="Helvetica" w:hAnsi="Helvetica"/>
          <w:sz w:val="22"/>
          <w:szCs w:val="22"/>
          <w:lang w:val="es-ES"/>
        </w:rPr>
        <w:t xml:space="preserve">La pregunta de la que parte este informe es conocer la extensión en que las sentencias penales en materia de desaparición de personas responden al derecho de acceso a la justicia de las víctimas y sus familias, como ha sido definido en el apartado anterior. Por lo tanto, no se trata de una </w:t>
      </w:r>
      <w:r>
        <w:rPr>
          <w:rFonts w:ascii="Helvetica" w:hAnsi="Helvetica"/>
          <w:sz w:val="22"/>
          <w:szCs w:val="22"/>
        </w:rPr>
        <w:t xml:space="preserve">evaluación de la argumentación de la sentencia ni de la estructura de la sentencia. Al contrario, la sentencia </w:t>
      </w:r>
      <w:r w:rsidR="0094308B">
        <w:rPr>
          <w:rFonts w:ascii="Helvetica" w:hAnsi="Helvetica"/>
          <w:sz w:val="22"/>
          <w:szCs w:val="22"/>
        </w:rPr>
        <w:t xml:space="preserve"> se analiza como un indicador d</w:t>
      </w:r>
      <w:r>
        <w:rPr>
          <w:rFonts w:ascii="Helvetica" w:hAnsi="Helvetica"/>
          <w:sz w:val="22"/>
          <w:szCs w:val="22"/>
        </w:rPr>
        <w:t xml:space="preserve">el esfuerzo de distintas autoridades por brindar acceso a la justicia de las víctimas, de ahí que se trate de una respuesta estatal que permite ver la manera en que esos distintos esfuerzos alcanzan un resultado. Por tanto, hay elementos del acceso a la justicia que cruzan a autoridades de procuración y administración de justicia. </w:t>
      </w:r>
    </w:p>
    <w:p w14:paraId="3B8DE1DB" w14:textId="1E006D06" w:rsidR="00EC52A6" w:rsidRPr="00EC52A6" w:rsidRDefault="00EC52A6" w:rsidP="00976907">
      <w:pPr>
        <w:spacing w:before="240" w:line="360" w:lineRule="auto"/>
        <w:jc w:val="both"/>
        <w:rPr>
          <w:rFonts w:ascii="Helvetica" w:hAnsi="Helvetica"/>
          <w:sz w:val="22"/>
          <w:szCs w:val="22"/>
          <w:lang w:val="es-ES"/>
        </w:rPr>
      </w:pPr>
      <w:r>
        <w:rPr>
          <w:rFonts w:ascii="Helvetica" w:hAnsi="Helvetica"/>
          <w:sz w:val="22"/>
          <w:szCs w:val="22"/>
        </w:rPr>
        <w:t>En consecuencia, la perspectiva esperada en las sentencias es una que mire al delito como un agravio pluriofensivo y continuado que, en la mayoría de las ocasiones, se deriva de una investigación de las estructuras complejas de criminalidad, que establezca una pena proporcional y en la que se atienden los daños provocados a la víctima y sus familiares como consecuencia del delito. Todo lo anterior, desde el enfoque de derechos humanos que, para el tema que nos ocupa, implica el conocimiento del contexto de la víctima, el análisis de contexto respecto de la situación en la que se llevó a cabo la desaparición y la incorporación de los estándares de derechos humanos para la resolución del caso, tanto los provenientes del Derecho Internacional de los Derechos Humanos, como los propios de la Suprema Corte de Justicia de la Nación (SCJN).</w:t>
      </w:r>
    </w:p>
    <w:p w14:paraId="255BEB8D" w14:textId="2E1CEB65" w:rsidR="006833CC" w:rsidRDefault="0082313C" w:rsidP="00976907">
      <w:pPr>
        <w:spacing w:before="240" w:line="360" w:lineRule="auto"/>
        <w:jc w:val="both"/>
        <w:rPr>
          <w:rFonts w:ascii="Helvetica" w:hAnsi="Helvetica"/>
          <w:sz w:val="22"/>
          <w:szCs w:val="22"/>
        </w:rPr>
      </w:pPr>
      <w:r>
        <w:rPr>
          <w:rFonts w:ascii="Helvetica" w:hAnsi="Helvetica"/>
          <w:sz w:val="22"/>
          <w:szCs w:val="22"/>
        </w:rPr>
        <w:t xml:space="preserve">Los indicadores tienen por objetivo principal identificar si las sentencias se apegan o no a los estándares de acceso a la justicia para producir un resultado de verdad, justicia y reparación. </w:t>
      </w:r>
      <w:r w:rsidR="006833CC">
        <w:rPr>
          <w:rFonts w:ascii="Helvetica" w:hAnsi="Helvetica"/>
          <w:sz w:val="22"/>
          <w:szCs w:val="22"/>
        </w:rPr>
        <w:t>En razón de ello, los indicadores se dividen en dos grupos, el primer</w:t>
      </w:r>
      <w:r w:rsidR="0094308B">
        <w:rPr>
          <w:rFonts w:ascii="Helvetica" w:hAnsi="Helvetica"/>
          <w:sz w:val="22"/>
          <w:szCs w:val="22"/>
        </w:rPr>
        <w:t>o</w:t>
      </w:r>
      <w:r w:rsidR="006833CC">
        <w:rPr>
          <w:rFonts w:ascii="Helvetica" w:hAnsi="Helvetica"/>
          <w:sz w:val="22"/>
          <w:szCs w:val="22"/>
        </w:rPr>
        <w:t xml:space="preserve"> sobre generalidades del caso (que incluye los datos de identificación de las sentencias</w:t>
      </w:r>
      <w:r w:rsidR="006833CC">
        <w:rPr>
          <w:rStyle w:val="Refdenotaalpie"/>
          <w:rFonts w:ascii="Helvetica" w:hAnsi="Helvetica"/>
          <w:sz w:val="22"/>
          <w:szCs w:val="22"/>
        </w:rPr>
        <w:footnoteReference w:id="3"/>
      </w:r>
      <w:r w:rsidR="006833CC">
        <w:rPr>
          <w:rFonts w:ascii="Helvetica" w:hAnsi="Helvetica"/>
          <w:sz w:val="22"/>
          <w:szCs w:val="22"/>
        </w:rPr>
        <w:t xml:space="preserve">) y </w:t>
      </w:r>
      <w:r w:rsidR="0094308B">
        <w:rPr>
          <w:rFonts w:ascii="Helvetica" w:hAnsi="Helvetica"/>
          <w:sz w:val="22"/>
          <w:szCs w:val="22"/>
        </w:rPr>
        <w:t xml:space="preserve">el </w:t>
      </w:r>
      <w:r w:rsidR="006833CC">
        <w:rPr>
          <w:rFonts w:ascii="Helvetica" w:hAnsi="Helvetica"/>
          <w:sz w:val="22"/>
          <w:szCs w:val="22"/>
        </w:rPr>
        <w:t xml:space="preserve">segundo que busca determinar el cumplimiento del derecho de acceso a la justicia.  </w:t>
      </w:r>
    </w:p>
    <w:p w14:paraId="3AC7D123" w14:textId="7A176C80" w:rsidR="00B17C50" w:rsidRPr="000426E7" w:rsidRDefault="00FE72E8" w:rsidP="00976907">
      <w:pPr>
        <w:spacing w:before="240" w:line="360" w:lineRule="auto"/>
        <w:jc w:val="both"/>
        <w:rPr>
          <w:rFonts w:ascii="Helvetica" w:hAnsi="Helvetica"/>
          <w:b/>
          <w:bCs/>
          <w:i/>
          <w:iCs/>
          <w:sz w:val="22"/>
          <w:szCs w:val="22"/>
        </w:rPr>
      </w:pPr>
      <w:r w:rsidRPr="000426E7">
        <w:rPr>
          <w:rFonts w:ascii="Helvetica" w:hAnsi="Helvetica"/>
          <w:b/>
          <w:bCs/>
          <w:i/>
          <w:iCs/>
          <w:sz w:val="22"/>
          <w:szCs w:val="22"/>
        </w:rPr>
        <w:lastRenderedPageBreak/>
        <w:t>Grupo A.</w:t>
      </w:r>
      <w:r w:rsidR="008244B3" w:rsidRPr="000426E7">
        <w:rPr>
          <w:rFonts w:ascii="Helvetica" w:hAnsi="Helvetica"/>
          <w:b/>
          <w:bCs/>
          <w:i/>
          <w:iCs/>
          <w:sz w:val="22"/>
          <w:szCs w:val="22"/>
        </w:rPr>
        <w:t xml:space="preserve"> </w:t>
      </w:r>
      <w:r w:rsidR="00E84BF5" w:rsidRPr="000426E7">
        <w:rPr>
          <w:rFonts w:ascii="Helvetica" w:hAnsi="Helvetica"/>
          <w:b/>
          <w:bCs/>
          <w:i/>
          <w:iCs/>
          <w:sz w:val="22"/>
          <w:szCs w:val="22"/>
        </w:rPr>
        <w:t>Generalidades del caso</w:t>
      </w:r>
      <w:r w:rsidR="004F0DEB" w:rsidRPr="000426E7">
        <w:rPr>
          <w:rFonts w:ascii="Helvetica" w:hAnsi="Helvetica"/>
          <w:b/>
          <w:bCs/>
          <w:i/>
          <w:iCs/>
          <w:sz w:val="22"/>
          <w:szCs w:val="22"/>
        </w:rPr>
        <w:t xml:space="preserve">. </w:t>
      </w:r>
    </w:p>
    <w:p w14:paraId="1EAEFF7D" w14:textId="77777777" w:rsidR="004F0DEB" w:rsidRDefault="004F0DEB" w:rsidP="00976907">
      <w:pPr>
        <w:spacing w:before="240" w:line="360" w:lineRule="auto"/>
        <w:jc w:val="both"/>
        <w:rPr>
          <w:rFonts w:ascii="Helvetica" w:hAnsi="Helvetica"/>
          <w:sz w:val="22"/>
          <w:szCs w:val="22"/>
        </w:rPr>
      </w:pPr>
      <w:r>
        <w:rPr>
          <w:rFonts w:ascii="Helvetica" w:hAnsi="Helvetica"/>
          <w:sz w:val="22"/>
          <w:szCs w:val="22"/>
        </w:rPr>
        <w:t>A.1. Sobre el caso: instancia, sistema (inquisitivo o acusatorio), tipo de procedimiento (abreviado u oral), fiscalía (general o especializada), número de fiscalías por las que pasó el caso, cambios en la tipificación.</w:t>
      </w:r>
    </w:p>
    <w:p w14:paraId="3A8C14BC" w14:textId="77777777" w:rsidR="004F0DEB" w:rsidRDefault="004F0DEB" w:rsidP="00976907">
      <w:pPr>
        <w:spacing w:before="240" w:line="360" w:lineRule="auto"/>
        <w:jc w:val="both"/>
        <w:rPr>
          <w:rFonts w:ascii="Helvetica" w:hAnsi="Helvetica"/>
          <w:sz w:val="22"/>
          <w:szCs w:val="22"/>
        </w:rPr>
      </w:pPr>
      <w:r>
        <w:rPr>
          <w:rFonts w:ascii="Helvetica" w:hAnsi="Helvetica"/>
          <w:sz w:val="22"/>
          <w:szCs w:val="22"/>
        </w:rPr>
        <w:t xml:space="preserve">A.2. Sobre la víctima: edad, sexo, ocupación, identificación de vínculo con crimen organizado. </w:t>
      </w:r>
    </w:p>
    <w:p w14:paraId="2B043E39" w14:textId="77777777" w:rsidR="004F0DEB" w:rsidRDefault="004F0DEB" w:rsidP="00976907">
      <w:pPr>
        <w:spacing w:before="240" w:line="360" w:lineRule="auto"/>
        <w:jc w:val="both"/>
        <w:rPr>
          <w:rFonts w:ascii="Helvetica" w:hAnsi="Helvetica"/>
          <w:sz w:val="22"/>
          <w:szCs w:val="22"/>
        </w:rPr>
      </w:pPr>
      <w:r>
        <w:rPr>
          <w:rFonts w:ascii="Helvetica" w:hAnsi="Helvetica"/>
          <w:sz w:val="22"/>
          <w:szCs w:val="22"/>
        </w:rPr>
        <w:t>A.3. Sobre el perpetrador: generalidades, tipo de perpetrador (agente estatal, grupo criminal, particular), tipo de agente estatal, tipo de defensa (pública y privada)</w:t>
      </w:r>
    </w:p>
    <w:p w14:paraId="5CD3E6F3" w14:textId="6CB23CD0" w:rsidR="004F0DEB" w:rsidRPr="000426E7" w:rsidRDefault="009B28F5" w:rsidP="00976907">
      <w:pPr>
        <w:spacing w:before="240" w:line="360" w:lineRule="auto"/>
        <w:jc w:val="both"/>
        <w:rPr>
          <w:rFonts w:ascii="Helvetica" w:hAnsi="Helvetica"/>
          <w:b/>
          <w:bCs/>
          <w:i/>
          <w:iCs/>
          <w:sz w:val="22"/>
          <w:szCs w:val="22"/>
        </w:rPr>
      </w:pPr>
      <w:r w:rsidRPr="000426E7">
        <w:rPr>
          <w:rFonts w:ascii="Helvetica" w:hAnsi="Helvetica"/>
          <w:b/>
          <w:bCs/>
          <w:i/>
          <w:iCs/>
          <w:sz w:val="22"/>
          <w:szCs w:val="22"/>
        </w:rPr>
        <w:t xml:space="preserve">Grupo B. </w:t>
      </w:r>
      <w:r w:rsidR="006833CC">
        <w:rPr>
          <w:rFonts w:ascii="Helvetica" w:hAnsi="Helvetica"/>
          <w:b/>
          <w:bCs/>
          <w:i/>
          <w:iCs/>
          <w:sz w:val="22"/>
          <w:szCs w:val="22"/>
        </w:rPr>
        <w:t>Acceso a la justicia</w:t>
      </w:r>
      <w:r w:rsidRPr="000426E7">
        <w:rPr>
          <w:rFonts w:ascii="Helvetica" w:hAnsi="Helvetica"/>
          <w:b/>
          <w:bCs/>
          <w:i/>
          <w:iCs/>
          <w:sz w:val="22"/>
          <w:szCs w:val="22"/>
        </w:rPr>
        <w:t xml:space="preserve">. </w:t>
      </w:r>
    </w:p>
    <w:p w14:paraId="7D56294C" w14:textId="6C31A5B9" w:rsidR="006833CC" w:rsidRDefault="006833CC" w:rsidP="00976907">
      <w:pPr>
        <w:spacing w:before="240" w:line="360" w:lineRule="auto"/>
        <w:jc w:val="both"/>
        <w:rPr>
          <w:rFonts w:ascii="Helvetica" w:hAnsi="Helvetica"/>
          <w:sz w:val="22"/>
          <w:szCs w:val="22"/>
        </w:rPr>
      </w:pPr>
      <w:r>
        <w:rPr>
          <w:rFonts w:ascii="Helvetica" w:hAnsi="Helvetica"/>
          <w:sz w:val="22"/>
          <w:szCs w:val="22"/>
        </w:rPr>
        <w:t>El derecho de acceso a la justicia</w:t>
      </w:r>
      <w:r w:rsidR="00107CDD">
        <w:rPr>
          <w:rFonts w:ascii="Helvetica" w:hAnsi="Helvetica"/>
          <w:sz w:val="22"/>
          <w:szCs w:val="22"/>
        </w:rPr>
        <w:t xml:space="preserve">, como fue definido en el apartado anterior, </w:t>
      </w:r>
      <w:r>
        <w:rPr>
          <w:rFonts w:ascii="Helvetica" w:hAnsi="Helvetica"/>
          <w:sz w:val="22"/>
          <w:szCs w:val="22"/>
        </w:rPr>
        <w:t xml:space="preserve">permite identificar </w:t>
      </w:r>
      <w:r w:rsidR="00237621">
        <w:rPr>
          <w:rFonts w:ascii="Helvetica" w:hAnsi="Helvetica"/>
          <w:sz w:val="22"/>
          <w:szCs w:val="22"/>
        </w:rPr>
        <w:t>un grupo</w:t>
      </w:r>
      <w:r>
        <w:rPr>
          <w:rFonts w:ascii="Helvetica" w:hAnsi="Helvetica"/>
          <w:sz w:val="22"/>
          <w:szCs w:val="22"/>
        </w:rPr>
        <w:t xml:space="preserve"> de observables en las sentencias:</w:t>
      </w:r>
    </w:p>
    <w:p w14:paraId="4FDD139E" w14:textId="77777777" w:rsidR="006833CC" w:rsidRDefault="006833CC" w:rsidP="00107CDD">
      <w:pPr>
        <w:spacing w:line="360" w:lineRule="auto"/>
        <w:jc w:val="both"/>
        <w:rPr>
          <w:rFonts w:ascii="Helvetica" w:hAnsi="Helvetica"/>
          <w:sz w:val="22"/>
          <w:szCs w:val="22"/>
        </w:rPr>
      </w:pPr>
    </w:p>
    <w:p w14:paraId="652721FB" w14:textId="7C4AA877" w:rsidR="006833CC" w:rsidRPr="006833CC" w:rsidRDefault="006833CC" w:rsidP="006833CC">
      <w:pPr>
        <w:pStyle w:val="Descripcin"/>
      </w:pPr>
      <w:bookmarkStart w:id="6" w:name="_Toc52293240"/>
      <w:bookmarkStart w:id="7" w:name="_Toc52293316"/>
      <w:r w:rsidRPr="003665C9">
        <w:t xml:space="preserve">Tabla </w:t>
      </w:r>
      <w:r>
        <w:t>2</w:t>
      </w:r>
      <w:r w:rsidRPr="003665C9">
        <w:t xml:space="preserve">. </w:t>
      </w:r>
      <w:r>
        <w:t>Indicadores del derecho de acceso a la justicia</w:t>
      </w:r>
      <w:bookmarkEnd w:id="6"/>
      <w:bookmarkEnd w:id="7"/>
    </w:p>
    <w:tbl>
      <w:tblPr>
        <w:tblStyle w:val="Tablaconcuadrcula"/>
        <w:tblW w:w="0" w:type="auto"/>
        <w:tblLook w:val="04A0" w:firstRow="1" w:lastRow="0" w:firstColumn="1" w:lastColumn="0" w:noHBand="0" w:noVBand="1"/>
      </w:tblPr>
      <w:tblGrid>
        <w:gridCol w:w="1838"/>
        <w:gridCol w:w="2977"/>
        <w:gridCol w:w="4013"/>
      </w:tblGrid>
      <w:tr w:rsidR="006833CC" w:rsidRPr="00BA3299" w14:paraId="164F61BA" w14:textId="77777777" w:rsidTr="00C64BD7">
        <w:tc>
          <w:tcPr>
            <w:tcW w:w="1838" w:type="dxa"/>
          </w:tcPr>
          <w:p w14:paraId="10ED1991" w14:textId="77777777" w:rsidR="006833CC" w:rsidRPr="00BA3299" w:rsidRDefault="006833CC" w:rsidP="00C64BD7">
            <w:pPr>
              <w:jc w:val="center"/>
              <w:rPr>
                <w:rFonts w:ascii="Helvetica" w:hAnsi="Helvetica"/>
                <w:b/>
                <w:bCs/>
                <w:sz w:val="20"/>
                <w:szCs w:val="20"/>
              </w:rPr>
            </w:pPr>
            <w:r w:rsidRPr="00BA3299">
              <w:rPr>
                <w:rFonts w:ascii="Helvetica" w:hAnsi="Helvetica"/>
                <w:b/>
                <w:bCs/>
                <w:sz w:val="20"/>
                <w:szCs w:val="20"/>
              </w:rPr>
              <w:t>Obligación</w:t>
            </w:r>
          </w:p>
        </w:tc>
        <w:tc>
          <w:tcPr>
            <w:tcW w:w="2977" w:type="dxa"/>
          </w:tcPr>
          <w:p w14:paraId="72FA962E" w14:textId="77777777" w:rsidR="006833CC" w:rsidRPr="00BA3299" w:rsidRDefault="006833CC" w:rsidP="00C64BD7">
            <w:pPr>
              <w:jc w:val="center"/>
              <w:rPr>
                <w:rFonts w:ascii="Helvetica" w:hAnsi="Helvetica"/>
                <w:b/>
                <w:bCs/>
                <w:sz w:val="20"/>
                <w:szCs w:val="20"/>
              </w:rPr>
            </w:pPr>
            <w:r w:rsidRPr="00BA3299">
              <w:rPr>
                <w:rFonts w:ascii="Helvetica" w:hAnsi="Helvetica"/>
                <w:b/>
                <w:bCs/>
                <w:sz w:val="20"/>
                <w:szCs w:val="20"/>
              </w:rPr>
              <w:t>Contenido</w:t>
            </w:r>
          </w:p>
        </w:tc>
        <w:tc>
          <w:tcPr>
            <w:tcW w:w="4013" w:type="dxa"/>
          </w:tcPr>
          <w:p w14:paraId="12605FFF" w14:textId="77777777" w:rsidR="006833CC" w:rsidRPr="00BA3299" w:rsidRDefault="006833CC" w:rsidP="00C64BD7">
            <w:pPr>
              <w:jc w:val="center"/>
              <w:rPr>
                <w:rFonts w:ascii="Helvetica" w:hAnsi="Helvetica"/>
                <w:b/>
                <w:bCs/>
                <w:sz w:val="20"/>
                <w:szCs w:val="20"/>
              </w:rPr>
            </w:pPr>
            <w:commentRangeStart w:id="8"/>
            <w:r w:rsidRPr="00BA3299">
              <w:rPr>
                <w:rFonts w:ascii="Helvetica" w:hAnsi="Helvetica"/>
                <w:b/>
                <w:bCs/>
                <w:sz w:val="20"/>
                <w:szCs w:val="20"/>
              </w:rPr>
              <w:t>Observables</w:t>
            </w:r>
            <w:commentRangeEnd w:id="8"/>
            <w:r w:rsidR="00317D32">
              <w:rPr>
                <w:rStyle w:val="Refdecomentario"/>
              </w:rPr>
              <w:commentReference w:id="8"/>
            </w:r>
          </w:p>
        </w:tc>
      </w:tr>
      <w:tr w:rsidR="006833CC" w:rsidRPr="00BA3299" w14:paraId="2890666C" w14:textId="77777777" w:rsidTr="00C64BD7">
        <w:tc>
          <w:tcPr>
            <w:tcW w:w="1838" w:type="dxa"/>
            <w:vMerge w:val="restart"/>
          </w:tcPr>
          <w:p w14:paraId="7E64D6DC" w14:textId="77777777" w:rsidR="006833CC" w:rsidRPr="00BA3299" w:rsidRDefault="006833CC" w:rsidP="00C64BD7">
            <w:pPr>
              <w:rPr>
                <w:rFonts w:ascii="Helvetica" w:hAnsi="Helvetica"/>
                <w:sz w:val="20"/>
                <w:szCs w:val="20"/>
              </w:rPr>
            </w:pPr>
            <w:r w:rsidRPr="00674CD0">
              <w:rPr>
                <w:rFonts w:ascii="Helvetica" w:eastAsiaTheme="minorEastAsia" w:hAnsi="Helvetica"/>
                <w:sz w:val="20"/>
                <w:szCs w:val="20"/>
              </w:rPr>
              <w:t>Derecho a una investigación con debida diligencia</w:t>
            </w:r>
          </w:p>
        </w:tc>
        <w:tc>
          <w:tcPr>
            <w:tcW w:w="6990" w:type="dxa"/>
            <w:gridSpan w:val="2"/>
            <w:shd w:val="clear" w:color="auto" w:fill="D9D9D9" w:themeFill="background1" w:themeFillShade="D9"/>
          </w:tcPr>
          <w:p w14:paraId="7D93C242" w14:textId="77777777" w:rsidR="006833CC" w:rsidRPr="00BA3299" w:rsidRDefault="006833CC" w:rsidP="00C64BD7">
            <w:pPr>
              <w:jc w:val="center"/>
              <w:rPr>
                <w:rFonts w:ascii="Helvetica" w:hAnsi="Helvetica"/>
                <w:b/>
                <w:bCs/>
                <w:i/>
                <w:iCs/>
                <w:sz w:val="20"/>
                <w:szCs w:val="20"/>
              </w:rPr>
            </w:pPr>
            <w:r w:rsidRPr="00BA3299">
              <w:rPr>
                <w:rFonts w:ascii="Helvetica" w:hAnsi="Helvetica"/>
                <w:b/>
                <w:bCs/>
                <w:i/>
                <w:iCs/>
                <w:sz w:val="20"/>
                <w:szCs w:val="20"/>
              </w:rPr>
              <w:t>Verdad</w:t>
            </w:r>
          </w:p>
        </w:tc>
      </w:tr>
      <w:tr w:rsidR="006833CC" w:rsidRPr="00BA3299" w14:paraId="5D3E8F0B" w14:textId="77777777" w:rsidTr="00C64BD7">
        <w:tc>
          <w:tcPr>
            <w:tcW w:w="1838" w:type="dxa"/>
            <w:vMerge/>
          </w:tcPr>
          <w:p w14:paraId="46B60E3B" w14:textId="77777777" w:rsidR="006833CC" w:rsidRPr="00BA3299" w:rsidRDefault="006833CC" w:rsidP="00C64BD7">
            <w:pPr>
              <w:rPr>
                <w:rFonts w:ascii="Helvetica" w:hAnsi="Helvetica"/>
                <w:sz w:val="20"/>
                <w:szCs w:val="20"/>
              </w:rPr>
            </w:pPr>
          </w:p>
        </w:tc>
        <w:tc>
          <w:tcPr>
            <w:tcW w:w="2977" w:type="dxa"/>
          </w:tcPr>
          <w:p w14:paraId="514CD4D5" w14:textId="77777777" w:rsidR="006833CC" w:rsidRPr="00BA3299" w:rsidRDefault="005229FF" w:rsidP="00C64BD7">
            <w:pPr>
              <w:rPr>
                <w:rFonts w:ascii="Helvetica" w:hAnsi="Helvetica"/>
                <w:sz w:val="20"/>
                <w:szCs w:val="20"/>
              </w:rPr>
            </w:pPr>
            <w:r w:rsidRPr="0014788E">
              <w:rPr>
                <w:rFonts w:ascii="Helvetica" w:eastAsiaTheme="minorEastAsia" w:hAnsi="Helvetica"/>
                <w:sz w:val="20"/>
                <w:szCs w:val="20"/>
              </w:rPr>
              <w:t xml:space="preserve">Uso de todos los recursos a disposición </w:t>
            </w:r>
          </w:p>
        </w:tc>
        <w:tc>
          <w:tcPr>
            <w:tcW w:w="4013" w:type="dxa"/>
          </w:tcPr>
          <w:p w14:paraId="0B8DE2B2" w14:textId="77777777" w:rsidR="006833CC" w:rsidRPr="00BA3299" w:rsidRDefault="005229FF" w:rsidP="00C64BD7">
            <w:pPr>
              <w:rPr>
                <w:rFonts w:ascii="Helvetica" w:hAnsi="Helvetica"/>
                <w:sz w:val="20"/>
                <w:szCs w:val="20"/>
              </w:rPr>
            </w:pPr>
            <w:r w:rsidRPr="000F2383">
              <w:rPr>
                <w:rFonts w:ascii="Helvetica" w:eastAsiaTheme="minorEastAsia" w:hAnsi="Helvetica"/>
                <w:sz w:val="20"/>
                <w:szCs w:val="20"/>
              </w:rPr>
              <w:t>B.1. Pruebas utilizadas: testigos y/o confesionales, inspecciones generales, pruebas técnicas, labores de inteligencia</w:t>
            </w:r>
          </w:p>
        </w:tc>
      </w:tr>
      <w:tr w:rsidR="006833CC" w:rsidRPr="00BA3299" w14:paraId="53453A0A" w14:textId="77777777" w:rsidTr="00C64BD7">
        <w:tc>
          <w:tcPr>
            <w:tcW w:w="1838" w:type="dxa"/>
            <w:vMerge/>
          </w:tcPr>
          <w:p w14:paraId="440284AB" w14:textId="77777777" w:rsidR="006833CC" w:rsidRPr="00BA3299" w:rsidRDefault="006833CC" w:rsidP="00C64BD7">
            <w:pPr>
              <w:rPr>
                <w:rFonts w:ascii="Helvetica" w:hAnsi="Helvetica"/>
                <w:sz w:val="20"/>
                <w:szCs w:val="20"/>
              </w:rPr>
            </w:pPr>
          </w:p>
        </w:tc>
        <w:tc>
          <w:tcPr>
            <w:tcW w:w="2977" w:type="dxa"/>
          </w:tcPr>
          <w:p w14:paraId="2FA86EA3" w14:textId="77777777" w:rsidR="006833CC" w:rsidRPr="00BA3299" w:rsidRDefault="005229FF" w:rsidP="00C64BD7">
            <w:pPr>
              <w:rPr>
                <w:rFonts w:ascii="Helvetica" w:hAnsi="Helvetica"/>
                <w:sz w:val="20"/>
                <w:szCs w:val="20"/>
              </w:rPr>
            </w:pPr>
            <w:r w:rsidRPr="00674CD0">
              <w:rPr>
                <w:rFonts w:ascii="Helvetica" w:eastAsiaTheme="minorEastAsia" w:hAnsi="Helvetica"/>
                <w:sz w:val="20"/>
                <w:szCs w:val="20"/>
              </w:rPr>
              <w:t>Análisis contextual (como presupuesto para entender el fenómeno)</w:t>
            </w:r>
          </w:p>
        </w:tc>
        <w:tc>
          <w:tcPr>
            <w:tcW w:w="4013" w:type="dxa"/>
          </w:tcPr>
          <w:p w14:paraId="6BA926DF" w14:textId="77777777" w:rsidR="006833CC" w:rsidRPr="00BA3299" w:rsidRDefault="005229FF" w:rsidP="00C64BD7">
            <w:pPr>
              <w:rPr>
                <w:rFonts w:ascii="Helvetica" w:hAnsi="Helvetica"/>
                <w:sz w:val="20"/>
                <w:szCs w:val="20"/>
              </w:rPr>
            </w:pPr>
            <w:r w:rsidRPr="000F2383">
              <w:rPr>
                <w:rFonts w:ascii="Helvetica" w:eastAsiaTheme="minorEastAsia" w:hAnsi="Helvetica"/>
                <w:sz w:val="20"/>
                <w:szCs w:val="20"/>
              </w:rPr>
              <w:t xml:space="preserve">B.2. </w:t>
            </w:r>
            <w:r w:rsidRPr="000F2383">
              <w:rPr>
                <w:rFonts w:ascii="Helvetica" w:eastAsiaTheme="minorEastAsia" w:hAnsi="Helvetica"/>
                <w:b/>
                <w:bCs/>
                <w:sz w:val="20"/>
                <w:szCs w:val="20"/>
              </w:rPr>
              <w:t>Estrategia investigativa</w:t>
            </w:r>
            <w:r w:rsidRPr="000F2383">
              <w:rPr>
                <w:rFonts w:ascii="Helvetica" w:eastAsiaTheme="minorEastAsia" w:hAnsi="Helvetica"/>
                <w:sz w:val="20"/>
                <w:szCs w:val="20"/>
              </w:rPr>
              <w:t>: evidencias de otros casos</w:t>
            </w:r>
            <w:r w:rsidR="006833CC" w:rsidRPr="00BA3299">
              <w:rPr>
                <w:rFonts w:ascii="Helvetica" w:hAnsi="Helvetica"/>
                <w:sz w:val="20"/>
                <w:szCs w:val="20"/>
              </w:rPr>
              <w:t xml:space="preserve"> y del fenómeno de desaparición</w:t>
            </w:r>
          </w:p>
        </w:tc>
      </w:tr>
      <w:tr w:rsidR="006833CC" w:rsidRPr="00BA3299" w14:paraId="2FBF0711" w14:textId="77777777" w:rsidTr="00C64BD7">
        <w:tc>
          <w:tcPr>
            <w:tcW w:w="1838" w:type="dxa"/>
            <w:vMerge/>
          </w:tcPr>
          <w:p w14:paraId="21D06362" w14:textId="77777777" w:rsidR="006833CC" w:rsidRPr="00BA3299" w:rsidRDefault="006833CC" w:rsidP="00C64BD7">
            <w:pPr>
              <w:rPr>
                <w:rFonts w:ascii="Helvetica" w:hAnsi="Helvetica"/>
                <w:sz w:val="20"/>
                <w:szCs w:val="20"/>
              </w:rPr>
            </w:pPr>
          </w:p>
        </w:tc>
        <w:tc>
          <w:tcPr>
            <w:tcW w:w="2977" w:type="dxa"/>
          </w:tcPr>
          <w:p w14:paraId="52816098" w14:textId="77777777" w:rsidR="006833CC" w:rsidRPr="00BA3299" w:rsidRDefault="005229FF" w:rsidP="00C64BD7">
            <w:pPr>
              <w:rPr>
                <w:rFonts w:ascii="Helvetica" w:hAnsi="Helvetica"/>
                <w:sz w:val="20"/>
                <w:szCs w:val="20"/>
              </w:rPr>
            </w:pPr>
            <w:r w:rsidRPr="0014788E">
              <w:rPr>
                <w:rFonts w:ascii="Helvetica" w:eastAsiaTheme="minorEastAsia" w:hAnsi="Helvetica"/>
                <w:sz w:val="20"/>
                <w:szCs w:val="20"/>
              </w:rPr>
              <w:t>Estructuras que hicieron posible la desaparición</w:t>
            </w:r>
          </w:p>
        </w:tc>
        <w:tc>
          <w:tcPr>
            <w:tcW w:w="4013" w:type="dxa"/>
          </w:tcPr>
          <w:p w14:paraId="486397B0" w14:textId="77777777" w:rsidR="006833CC" w:rsidRPr="00BA3299" w:rsidRDefault="006833CC" w:rsidP="00C64BD7">
            <w:pPr>
              <w:rPr>
                <w:rFonts w:ascii="Helvetica" w:hAnsi="Helvetica"/>
                <w:sz w:val="20"/>
                <w:szCs w:val="20"/>
              </w:rPr>
            </w:pPr>
            <w:r w:rsidRPr="00BA3299">
              <w:rPr>
                <w:rFonts w:ascii="Helvetica" w:eastAsiaTheme="minorEastAsia" w:hAnsi="Helvetica"/>
                <w:sz w:val="20"/>
                <w:szCs w:val="20"/>
              </w:rPr>
              <w:t xml:space="preserve">B.3. </w:t>
            </w:r>
            <w:r w:rsidRPr="00BA3299">
              <w:rPr>
                <w:rFonts w:ascii="Helvetica" w:eastAsiaTheme="minorEastAsia" w:hAnsi="Helvetica"/>
                <w:b/>
                <w:bCs/>
                <w:sz w:val="20"/>
                <w:szCs w:val="20"/>
              </w:rPr>
              <w:t>Elementos del crimen y estructuras criminales</w:t>
            </w:r>
            <w:r w:rsidRPr="00BA3299">
              <w:rPr>
                <w:rFonts w:ascii="Helvetica" w:eastAsiaTheme="minorEastAsia" w:hAnsi="Helvetica"/>
                <w:sz w:val="20"/>
                <w:szCs w:val="20"/>
              </w:rPr>
              <w:t>: identificación de la estructura criminal, descripción completa de los hechos, móvil del delito, descripción de la orden y transmisión</w:t>
            </w:r>
          </w:p>
        </w:tc>
      </w:tr>
      <w:tr w:rsidR="006833CC" w:rsidRPr="00BA3299" w14:paraId="259BC662" w14:textId="77777777" w:rsidTr="00C64BD7">
        <w:tc>
          <w:tcPr>
            <w:tcW w:w="1838" w:type="dxa"/>
            <w:vMerge/>
          </w:tcPr>
          <w:p w14:paraId="4E7EDFA2" w14:textId="77777777" w:rsidR="006833CC" w:rsidRPr="00BA3299" w:rsidRDefault="006833CC" w:rsidP="00C64BD7">
            <w:pPr>
              <w:rPr>
                <w:rFonts w:ascii="Helvetica" w:hAnsi="Helvetica"/>
                <w:sz w:val="20"/>
                <w:szCs w:val="20"/>
              </w:rPr>
            </w:pPr>
          </w:p>
        </w:tc>
        <w:tc>
          <w:tcPr>
            <w:tcW w:w="6990" w:type="dxa"/>
            <w:gridSpan w:val="2"/>
            <w:shd w:val="clear" w:color="auto" w:fill="D9D9D9" w:themeFill="background1" w:themeFillShade="D9"/>
          </w:tcPr>
          <w:p w14:paraId="74561620" w14:textId="77777777" w:rsidR="006833CC" w:rsidRPr="00BA3299" w:rsidRDefault="006833CC" w:rsidP="00C64BD7">
            <w:pPr>
              <w:jc w:val="center"/>
              <w:rPr>
                <w:rFonts w:ascii="Helvetica" w:hAnsi="Helvetica"/>
                <w:b/>
                <w:bCs/>
                <w:i/>
                <w:iCs/>
                <w:sz w:val="20"/>
                <w:szCs w:val="20"/>
              </w:rPr>
            </w:pPr>
            <w:r w:rsidRPr="00BA3299">
              <w:rPr>
                <w:rFonts w:ascii="Helvetica" w:hAnsi="Helvetica"/>
                <w:b/>
                <w:bCs/>
                <w:i/>
                <w:iCs/>
                <w:sz w:val="20"/>
                <w:szCs w:val="20"/>
              </w:rPr>
              <w:t>Justicia</w:t>
            </w:r>
          </w:p>
        </w:tc>
      </w:tr>
      <w:tr w:rsidR="006833CC" w:rsidRPr="00BA3299" w14:paraId="599DFE01" w14:textId="77777777" w:rsidTr="00C64BD7">
        <w:tc>
          <w:tcPr>
            <w:tcW w:w="1838" w:type="dxa"/>
            <w:vMerge/>
          </w:tcPr>
          <w:p w14:paraId="641661B6" w14:textId="77777777" w:rsidR="006833CC" w:rsidRPr="00BA3299" w:rsidRDefault="006833CC" w:rsidP="00C64BD7">
            <w:pPr>
              <w:rPr>
                <w:rFonts w:ascii="Helvetica" w:hAnsi="Helvetica"/>
                <w:sz w:val="20"/>
                <w:szCs w:val="20"/>
              </w:rPr>
            </w:pPr>
          </w:p>
        </w:tc>
        <w:tc>
          <w:tcPr>
            <w:tcW w:w="2977" w:type="dxa"/>
          </w:tcPr>
          <w:p w14:paraId="49AF613A" w14:textId="77777777" w:rsidR="006833CC" w:rsidRPr="00BA3299" w:rsidRDefault="005229FF" w:rsidP="00C64BD7">
            <w:pPr>
              <w:rPr>
                <w:rFonts w:ascii="Helvetica" w:hAnsi="Helvetica"/>
                <w:sz w:val="20"/>
                <w:szCs w:val="20"/>
              </w:rPr>
            </w:pPr>
            <w:r w:rsidRPr="0014788E">
              <w:rPr>
                <w:rFonts w:ascii="Helvetica" w:eastAsiaTheme="minorEastAsia" w:hAnsi="Helvetica"/>
                <w:sz w:val="20"/>
                <w:szCs w:val="20"/>
              </w:rPr>
              <w:t>Autores materiales, intelectuales y beneficiarios</w:t>
            </w:r>
          </w:p>
        </w:tc>
        <w:tc>
          <w:tcPr>
            <w:tcW w:w="4013" w:type="dxa"/>
          </w:tcPr>
          <w:p w14:paraId="6831CD4D" w14:textId="77777777" w:rsidR="006833CC" w:rsidRPr="00BA3299" w:rsidRDefault="006833CC" w:rsidP="00C64BD7">
            <w:pPr>
              <w:rPr>
                <w:rFonts w:ascii="Helvetica" w:hAnsi="Helvetica"/>
                <w:sz w:val="20"/>
                <w:szCs w:val="20"/>
              </w:rPr>
            </w:pPr>
            <w:r w:rsidRPr="00BA3299">
              <w:rPr>
                <w:rFonts w:ascii="Helvetica" w:eastAsiaTheme="minorEastAsia" w:hAnsi="Helvetica"/>
                <w:sz w:val="20"/>
                <w:szCs w:val="20"/>
              </w:rPr>
              <w:t>B.4. Personas judicializadas: número de personas procesadas, número de personas condenadas, nivel de mando (alto, medio bajo), nivel de autoría (material, intermediario, intelectual o estratégico)</w:t>
            </w:r>
          </w:p>
        </w:tc>
      </w:tr>
      <w:tr w:rsidR="006833CC" w:rsidRPr="00BA3299" w14:paraId="4861F4FA" w14:textId="77777777" w:rsidTr="00C64BD7">
        <w:tc>
          <w:tcPr>
            <w:tcW w:w="1838" w:type="dxa"/>
            <w:vMerge/>
          </w:tcPr>
          <w:p w14:paraId="1D264FF2" w14:textId="77777777" w:rsidR="006833CC" w:rsidRPr="00BA3299" w:rsidRDefault="006833CC" w:rsidP="00C64BD7">
            <w:pPr>
              <w:rPr>
                <w:rFonts w:ascii="Helvetica" w:hAnsi="Helvetica"/>
                <w:sz w:val="20"/>
                <w:szCs w:val="20"/>
              </w:rPr>
            </w:pPr>
          </w:p>
        </w:tc>
        <w:tc>
          <w:tcPr>
            <w:tcW w:w="2977" w:type="dxa"/>
          </w:tcPr>
          <w:p w14:paraId="61D5B9C0" w14:textId="77777777" w:rsidR="006833CC" w:rsidRPr="00BA3299" w:rsidRDefault="006833CC" w:rsidP="00C64BD7">
            <w:pPr>
              <w:rPr>
                <w:rFonts w:ascii="Helvetica" w:hAnsi="Helvetica"/>
                <w:sz w:val="20"/>
                <w:szCs w:val="20"/>
              </w:rPr>
            </w:pPr>
            <w:r w:rsidRPr="00BA3299">
              <w:rPr>
                <w:rFonts w:ascii="Helvetica" w:hAnsi="Helvetica"/>
                <w:sz w:val="20"/>
                <w:szCs w:val="20"/>
              </w:rPr>
              <w:t>Proporcionalidad de la pena</w:t>
            </w:r>
          </w:p>
        </w:tc>
        <w:tc>
          <w:tcPr>
            <w:tcW w:w="4013" w:type="dxa"/>
          </w:tcPr>
          <w:p w14:paraId="5F43D57D" w14:textId="77777777" w:rsidR="006833CC" w:rsidRPr="00BA3299" w:rsidRDefault="006833CC" w:rsidP="00C64BD7">
            <w:pPr>
              <w:rPr>
                <w:rFonts w:ascii="Helvetica" w:hAnsi="Helvetica"/>
                <w:sz w:val="20"/>
                <w:szCs w:val="20"/>
              </w:rPr>
            </w:pPr>
            <w:r w:rsidRPr="00BA3299">
              <w:rPr>
                <w:rFonts w:ascii="Helvetica" w:hAnsi="Helvetica"/>
                <w:sz w:val="20"/>
                <w:szCs w:val="20"/>
              </w:rPr>
              <w:t>B6. Resultados: sentido de la sentencia, condena impuesta, multa</w:t>
            </w:r>
          </w:p>
        </w:tc>
      </w:tr>
      <w:tr w:rsidR="006833CC" w:rsidRPr="00BA3299" w14:paraId="19B3CBAD" w14:textId="77777777" w:rsidTr="00C64BD7">
        <w:tc>
          <w:tcPr>
            <w:tcW w:w="1838" w:type="dxa"/>
          </w:tcPr>
          <w:p w14:paraId="70FFE91E" w14:textId="77777777" w:rsidR="006833CC" w:rsidRPr="00BA3299" w:rsidRDefault="006833CC" w:rsidP="00C64BD7">
            <w:pPr>
              <w:rPr>
                <w:rFonts w:ascii="Helvetica" w:hAnsi="Helvetica"/>
                <w:sz w:val="20"/>
                <w:szCs w:val="20"/>
              </w:rPr>
            </w:pPr>
            <w:r w:rsidRPr="00BA3299">
              <w:rPr>
                <w:rFonts w:ascii="Helvetica" w:hAnsi="Helvetica"/>
                <w:sz w:val="20"/>
                <w:szCs w:val="20"/>
              </w:rPr>
              <w:t>Búsqueda judicial</w:t>
            </w:r>
          </w:p>
        </w:tc>
        <w:tc>
          <w:tcPr>
            <w:tcW w:w="2977" w:type="dxa"/>
          </w:tcPr>
          <w:p w14:paraId="249F1CFC" w14:textId="77777777" w:rsidR="006833CC" w:rsidRPr="00BA3299" w:rsidRDefault="006833CC" w:rsidP="00C64BD7">
            <w:pPr>
              <w:rPr>
                <w:rFonts w:ascii="Helvetica" w:hAnsi="Helvetica"/>
                <w:sz w:val="20"/>
                <w:szCs w:val="20"/>
              </w:rPr>
            </w:pPr>
            <w:r w:rsidRPr="0014788E">
              <w:rPr>
                <w:rFonts w:ascii="Helvetica" w:eastAsiaTheme="minorEastAsia" w:hAnsi="Helvetica"/>
                <w:sz w:val="20"/>
                <w:szCs w:val="20"/>
              </w:rPr>
              <w:t>Encontrar a la víctima o sus restos y, en su caso, identificación y devolución a sus familiares.</w:t>
            </w:r>
          </w:p>
        </w:tc>
        <w:tc>
          <w:tcPr>
            <w:tcW w:w="4013" w:type="dxa"/>
          </w:tcPr>
          <w:p w14:paraId="0727B768" w14:textId="77777777" w:rsidR="006833CC" w:rsidRPr="00BA3299" w:rsidRDefault="006833CC" w:rsidP="00C64BD7">
            <w:pPr>
              <w:rPr>
                <w:rFonts w:ascii="Helvetica" w:hAnsi="Helvetica"/>
                <w:sz w:val="20"/>
                <w:szCs w:val="20"/>
              </w:rPr>
            </w:pPr>
            <w:r w:rsidRPr="00BA3299">
              <w:rPr>
                <w:rFonts w:ascii="Helvetica" w:hAnsi="Helvetica"/>
                <w:sz w:val="20"/>
                <w:szCs w:val="20"/>
              </w:rPr>
              <w:t xml:space="preserve">B6. Resultados: </w:t>
            </w:r>
            <w:r w:rsidRPr="00BA3299">
              <w:rPr>
                <w:rFonts w:ascii="Helvetica" w:eastAsiaTheme="minorEastAsia" w:hAnsi="Helvetica"/>
                <w:sz w:val="20"/>
                <w:szCs w:val="20"/>
              </w:rPr>
              <w:t>búsqueda de la persona desaparecida</w:t>
            </w:r>
            <w:r w:rsidRPr="00BA3299">
              <w:rPr>
                <w:rFonts w:ascii="Helvetica" w:hAnsi="Helvetica"/>
                <w:sz w:val="20"/>
                <w:szCs w:val="20"/>
              </w:rPr>
              <w:t xml:space="preserve"> y/o </w:t>
            </w:r>
            <w:r w:rsidRPr="00BA3299">
              <w:rPr>
                <w:rFonts w:ascii="Helvetica" w:eastAsiaTheme="minorEastAsia" w:hAnsi="Helvetica"/>
                <w:sz w:val="20"/>
                <w:szCs w:val="20"/>
              </w:rPr>
              <w:t>persona encontrada</w:t>
            </w:r>
          </w:p>
        </w:tc>
      </w:tr>
      <w:tr w:rsidR="006833CC" w:rsidRPr="00BA3299" w14:paraId="5981601C" w14:textId="77777777" w:rsidTr="00C64BD7">
        <w:tc>
          <w:tcPr>
            <w:tcW w:w="1838" w:type="dxa"/>
          </w:tcPr>
          <w:p w14:paraId="21997CD9" w14:textId="77777777" w:rsidR="006833CC" w:rsidRPr="00BA3299" w:rsidRDefault="006833CC" w:rsidP="00C64BD7">
            <w:pPr>
              <w:rPr>
                <w:rFonts w:ascii="Helvetica" w:hAnsi="Helvetica"/>
                <w:sz w:val="20"/>
                <w:szCs w:val="20"/>
              </w:rPr>
            </w:pPr>
            <w:r w:rsidRPr="00BA3299">
              <w:rPr>
                <w:rFonts w:ascii="Helvetica" w:hAnsi="Helvetica"/>
                <w:sz w:val="20"/>
                <w:szCs w:val="20"/>
              </w:rPr>
              <w:lastRenderedPageBreak/>
              <w:t>Reparación del daño</w:t>
            </w:r>
          </w:p>
        </w:tc>
        <w:tc>
          <w:tcPr>
            <w:tcW w:w="2977" w:type="dxa"/>
          </w:tcPr>
          <w:p w14:paraId="185751DF" w14:textId="77777777" w:rsidR="006833CC" w:rsidRPr="00BA3299" w:rsidRDefault="006833CC" w:rsidP="00C64BD7">
            <w:pPr>
              <w:rPr>
                <w:rFonts w:ascii="Helvetica" w:hAnsi="Helvetica"/>
                <w:sz w:val="20"/>
                <w:szCs w:val="20"/>
              </w:rPr>
            </w:pPr>
            <w:r w:rsidRPr="00BA3299">
              <w:rPr>
                <w:rFonts w:ascii="Helvetica" w:hAnsi="Helvetica"/>
                <w:sz w:val="20"/>
                <w:szCs w:val="20"/>
              </w:rPr>
              <w:t xml:space="preserve">Reparación integral </w:t>
            </w:r>
          </w:p>
        </w:tc>
        <w:tc>
          <w:tcPr>
            <w:tcW w:w="4013" w:type="dxa"/>
          </w:tcPr>
          <w:p w14:paraId="68ECA4F6" w14:textId="77777777" w:rsidR="006833CC" w:rsidRPr="00BA3299" w:rsidRDefault="006833CC" w:rsidP="00C64BD7">
            <w:pPr>
              <w:rPr>
                <w:rFonts w:ascii="Helvetica" w:hAnsi="Helvetica"/>
                <w:sz w:val="20"/>
                <w:szCs w:val="20"/>
              </w:rPr>
            </w:pPr>
            <w:commentRangeStart w:id="9"/>
            <w:r w:rsidRPr="00BA3299">
              <w:rPr>
                <w:rFonts w:ascii="Helvetica" w:hAnsi="Helvetica"/>
                <w:sz w:val="20"/>
                <w:szCs w:val="20"/>
              </w:rPr>
              <w:t>B6. Resultados: indemnización y otras medidas de reparación</w:t>
            </w:r>
            <w:commentRangeEnd w:id="9"/>
            <w:r w:rsidR="00317D32">
              <w:rPr>
                <w:rStyle w:val="Refdecomentario"/>
              </w:rPr>
              <w:commentReference w:id="9"/>
            </w:r>
          </w:p>
        </w:tc>
      </w:tr>
    </w:tbl>
    <w:p w14:paraId="6D025701" w14:textId="0DD0B8E1" w:rsidR="004F29BA" w:rsidRPr="00962293" w:rsidRDefault="004F29BA" w:rsidP="004F29BA">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w:t>
      </w:r>
    </w:p>
    <w:p w14:paraId="5D16F4DE" w14:textId="77777777" w:rsidR="00B17C50" w:rsidRPr="00107CDD" w:rsidRDefault="00B17C50" w:rsidP="00B17C50">
      <w:pPr>
        <w:spacing w:line="360" w:lineRule="auto"/>
        <w:jc w:val="both"/>
        <w:rPr>
          <w:rFonts w:ascii="Helvetica" w:hAnsi="Helvetica"/>
          <w:sz w:val="22"/>
          <w:szCs w:val="22"/>
          <w:lang w:val="es-ES"/>
        </w:rPr>
      </w:pPr>
    </w:p>
    <w:p w14:paraId="5ABCBCF3" w14:textId="7BD96540" w:rsidR="00203400" w:rsidRDefault="00203400" w:rsidP="00203400">
      <w:pPr>
        <w:spacing w:before="240" w:line="360" w:lineRule="auto"/>
        <w:jc w:val="both"/>
        <w:rPr>
          <w:rFonts w:ascii="Helvetica" w:hAnsi="Helvetica"/>
          <w:sz w:val="22"/>
          <w:szCs w:val="22"/>
          <w:lang w:val="es-ES"/>
        </w:rPr>
      </w:pPr>
      <w:r>
        <w:rPr>
          <w:rFonts w:ascii="Helvetica" w:hAnsi="Helvetica"/>
          <w:sz w:val="22"/>
          <w:szCs w:val="22"/>
          <w:lang w:val="es-ES"/>
        </w:rPr>
        <w:t>Un</w:t>
      </w:r>
      <w:r w:rsidR="0094308B">
        <w:rPr>
          <w:rFonts w:ascii="Helvetica" w:hAnsi="Helvetica"/>
          <w:sz w:val="22"/>
          <w:szCs w:val="22"/>
          <w:lang w:val="es-ES"/>
        </w:rPr>
        <w:t>o</w:t>
      </w:r>
      <w:r>
        <w:rPr>
          <w:rFonts w:ascii="Helvetica" w:hAnsi="Helvetica"/>
          <w:sz w:val="22"/>
          <w:szCs w:val="22"/>
          <w:lang w:val="es-ES"/>
        </w:rPr>
        <w:t xml:space="preserve"> de los elementos más importantes del acceso a la justicia en casos de desaparición forzada de personas es el análisis de los casos desde una aproximación estructural, que permita identificar las causas mediatas y últimas de las desapariciones, así como las razones por las que los diseños institucionales son incapaces de prevenirles. En la medida que se trata de un crimen complejo -tanto por los múltiples derechos que se ven violados como por los distintos tipos de actores que participan en su ejecución- el abordaje de investigación y de sanción debe llevarse a cabo considerando los distintos elementos contextuales intervinientes, la mecánica de las desapariciones, las distintas autorías (material, intermediaria, intelectual, estratégica), la superioridad jerárquica y el móvil de la desaparición, entre otros. </w:t>
      </w:r>
    </w:p>
    <w:p w14:paraId="15A9919E" w14:textId="77777777" w:rsidR="00203400" w:rsidRDefault="00203400" w:rsidP="00203400">
      <w:pPr>
        <w:spacing w:before="240" w:line="360" w:lineRule="auto"/>
        <w:jc w:val="both"/>
        <w:rPr>
          <w:rFonts w:ascii="Helvetica" w:hAnsi="Helvetica"/>
          <w:sz w:val="22"/>
          <w:szCs w:val="22"/>
          <w:lang w:val="es-ES"/>
        </w:rPr>
      </w:pPr>
      <w:r>
        <w:rPr>
          <w:rFonts w:ascii="Helvetica" w:hAnsi="Helvetica"/>
          <w:sz w:val="22"/>
          <w:szCs w:val="22"/>
          <w:lang w:val="es-ES"/>
        </w:rPr>
        <w:t>El objetivo que se persigue es establecer la verdad sobre los hechos, una verdad que permita, en primer lugar, a los familiares de las víctimas saber qué pasó con su ser querido y, en segundo lugar, a la sociedad conocer qué sucedió. Frente a la desaparición de personas, el contar con elementos que expliquen el ocultamiento y paradero de las personas resulta clave para desarticular su continuación. Se trata, por supuesto, de una verdad obtenida por medios judiciales, de ahí que la investigación está llamada a explicar a la desaparición de conformidad con los parámetros mencionados.</w:t>
      </w:r>
    </w:p>
    <w:p w14:paraId="25441DFC" w14:textId="77777777" w:rsidR="00203400" w:rsidRDefault="00203400" w:rsidP="00203400">
      <w:pPr>
        <w:spacing w:before="240" w:line="360" w:lineRule="auto"/>
        <w:jc w:val="both"/>
        <w:rPr>
          <w:rFonts w:ascii="Helvetica" w:hAnsi="Helvetica"/>
          <w:sz w:val="22"/>
          <w:szCs w:val="22"/>
          <w:lang w:val="es-ES"/>
        </w:rPr>
      </w:pPr>
      <w:r>
        <w:rPr>
          <w:rFonts w:ascii="Helvetica" w:hAnsi="Helvetica"/>
          <w:sz w:val="22"/>
          <w:szCs w:val="22"/>
          <w:lang w:val="es-ES"/>
        </w:rPr>
        <w:t>Por tanto, el acceso a la justicia es un derecho que basado en la debida diligencia de las autoridades de procuración y administración de justicia exige una aproximación abarcadora del hecho delictivo, donde se pueda situar a la persona directamente imputada en un entramado complejo. Ello no impide que, en algunos casos, los delitos que sancionan violaciones graves y complejas como lo es la desaparición forzada de personas, no puedan existir autores aislados, pero la experiencia internacional respecto de esa práctica ha demostrado que suele ocurrir como parte (fin o medio) de otras conductas e intervinientes.</w:t>
      </w:r>
    </w:p>
    <w:p w14:paraId="3221EE39" w14:textId="77777777" w:rsidR="00203400" w:rsidRDefault="00203400" w:rsidP="00B17C50">
      <w:pPr>
        <w:spacing w:line="360" w:lineRule="auto"/>
        <w:jc w:val="both"/>
        <w:rPr>
          <w:rFonts w:ascii="Helvetica" w:hAnsi="Helvetica"/>
          <w:sz w:val="22"/>
          <w:szCs w:val="22"/>
          <w:lang w:val="es-ES"/>
        </w:rPr>
      </w:pPr>
    </w:p>
    <w:p w14:paraId="54BCDE82" w14:textId="310BF0CE" w:rsidR="00830279" w:rsidRDefault="00B307A6" w:rsidP="00B17C50">
      <w:pPr>
        <w:spacing w:line="360" w:lineRule="auto"/>
        <w:jc w:val="both"/>
        <w:rPr>
          <w:rFonts w:ascii="Helvetica" w:hAnsi="Helvetica"/>
          <w:sz w:val="22"/>
          <w:szCs w:val="22"/>
          <w:lang w:val="es-ES"/>
        </w:rPr>
      </w:pPr>
      <w:r>
        <w:rPr>
          <w:rFonts w:ascii="Helvetica" w:hAnsi="Helvetica"/>
          <w:sz w:val="22"/>
          <w:szCs w:val="22"/>
          <w:lang w:val="es-ES"/>
        </w:rPr>
        <w:t>No pasa desapercibido que</w:t>
      </w:r>
      <w:r w:rsidR="00D24581">
        <w:rPr>
          <w:rFonts w:ascii="Helvetica" w:hAnsi="Helvetica"/>
          <w:sz w:val="22"/>
          <w:szCs w:val="22"/>
          <w:lang w:val="es-ES"/>
        </w:rPr>
        <w:t xml:space="preserve">, dadas las fechas de ocurrencia de los hechos y de emisión de las sentencias, existen variantes en los tipos penales de desaparición </w:t>
      </w:r>
      <w:r w:rsidR="001D18FA">
        <w:rPr>
          <w:rFonts w:ascii="Helvetica" w:hAnsi="Helvetica"/>
          <w:sz w:val="22"/>
          <w:szCs w:val="22"/>
          <w:lang w:val="es-ES"/>
        </w:rPr>
        <w:t xml:space="preserve">que los distintos tribunales utilizaron para emitir sus resoluciones, sin embargo, la metodología aquí seguida </w:t>
      </w:r>
      <w:r w:rsidR="001D18FA" w:rsidRPr="00237621">
        <w:rPr>
          <w:rFonts w:ascii="Helvetica" w:hAnsi="Helvetica"/>
          <w:sz w:val="22"/>
          <w:szCs w:val="22"/>
          <w:lang w:val="es-ES"/>
        </w:rPr>
        <w:lastRenderedPageBreak/>
        <w:t>no busca indagar</w:t>
      </w:r>
      <w:r w:rsidR="001D18FA">
        <w:rPr>
          <w:rFonts w:ascii="Helvetica" w:hAnsi="Helvetica"/>
          <w:sz w:val="22"/>
          <w:szCs w:val="22"/>
          <w:lang w:val="es-ES"/>
        </w:rPr>
        <w:t xml:space="preserve"> si existe o no consistencia y congruencia en la utilización del tipo penal nacional, sino </w:t>
      </w:r>
      <w:r w:rsidR="00104573">
        <w:rPr>
          <w:rFonts w:ascii="Helvetica" w:hAnsi="Helvetica"/>
          <w:sz w:val="22"/>
          <w:szCs w:val="22"/>
          <w:lang w:val="es-ES"/>
        </w:rPr>
        <w:t xml:space="preserve">qué nos dicen las sentencias sobre la forma en que se garantiza el derecho de acceso a la justicia y cuáles son sus resultados en términos de verdad y justicia. </w:t>
      </w:r>
      <w:r w:rsidR="00830279">
        <w:rPr>
          <w:rFonts w:ascii="Helvetica" w:hAnsi="Helvetica"/>
          <w:sz w:val="22"/>
          <w:szCs w:val="22"/>
          <w:lang w:val="es-ES"/>
        </w:rPr>
        <w:t xml:space="preserve">De igual forma, se considera que hay elementos de la investigación que no es posible que sean suplidos por la instancia judicial si las autoridades de procuración de justicia no los aportaron adecuadamente, por ello conviene recordar que el informe </w:t>
      </w:r>
      <w:r w:rsidR="00830279" w:rsidRPr="00104573">
        <w:rPr>
          <w:rFonts w:ascii="Helvetica" w:hAnsi="Helvetica"/>
          <w:sz w:val="22"/>
          <w:szCs w:val="22"/>
          <w:lang w:val="es-ES"/>
        </w:rPr>
        <w:t>no pretende evaluar</w:t>
      </w:r>
      <w:r w:rsidR="00830279">
        <w:rPr>
          <w:rFonts w:ascii="Helvetica" w:hAnsi="Helvetica"/>
          <w:sz w:val="22"/>
          <w:szCs w:val="22"/>
          <w:lang w:val="es-ES"/>
        </w:rPr>
        <w:t xml:space="preserve"> a los poderes judiciales, sino la extensión del cumplimiento del acceso a la justicia, donde las sentencias constituyen un resultado de la acción estatal. </w:t>
      </w:r>
    </w:p>
    <w:p w14:paraId="6CB116B6" w14:textId="1D2B60EE" w:rsidR="00F91BEF" w:rsidRPr="005B71B0" w:rsidRDefault="00F91BEF" w:rsidP="000E00CA">
      <w:pPr>
        <w:pStyle w:val="Ttulo1"/>
        <w:rPr>
          <w:color w:val="FF0000"/>
        </w:rPr>
      </w:pPr>
      <w:bookmarkStart w:id="10" w:name="_Toc52293195"/>
      <w:r w:rsidRPr="002621FD">
        <w:t xml:space="preserve">3. </w:t>
      </w:r>
      <w:r w:rsidR="00F46E62">
        <w:t>Datos generales sobre</w:t>
      </w:r>
      <w:r w:rsidRPr="002621FD">
        <w:t xml:space="preserve"> las sentencias</w:t>
      </w:r>
      <w:r w:rsidR="005B71B0">
        <w:t xml:space="preserve">: </w:t>
      </w:r>
      <w:r w:rsidR="0082779F">
        <w:t>q</w:t>
      </w:r>
      <w:r w:rsidR="005B71B0" w:rsidRPr="0082779F">
        <w:t>uién, por quién, dónde, cuando</w:t>
      </w:r>
      <w:bookmarkEnd w:id="10"/>
    </w:p>
    <w:p w14:paraId="60C13D20" w14:textId="3624C967" w:rsidR="00DD7CB0" w:rsidRDefault="00DD7CB0"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Esta sección tiene por objetivo presentar los datos generales de las sentencias, en particular aquella información que permita ubicarlas en el tiempo, espacio y tipo de perpetradores. </w:t>
      </w:r>
      <w:r w:rsidR="009647D7">
        <w:rPr>
          <w:rFonts w:ascii="Helvetica" w:hAnsi="Helvetica"/>
          <w:sz w:val="22"/>
          <w:szCs w:val="22"/>
          <w:lang w:val="es-ES"/>
        </w:rPr>
        <w:t>Las sentencias se refieren a hechos sucedidos en 11 entidades del país:</w:t>
      </w:r>
    </w:p>
    <w:p w14:paraId="3C4F4DE2" w14:textId="77777777" w:rsidR="009647D7" w:rsidRDefault="009647D7" w:rsidP="009647D7">
      <w:pPr>
        <w:spacing w:line="360" w:lineRule="auto"/>
        <w:jc w:val="both"/>
        <w:rPr>
          <w:rFonts w:ascii="Helvetica" w:hAnsi="Helvetica"/>
          <w:sz w:val="22"/>
          <w:szCs w:val="22"/>
          <w:lang w:val="es-ES"/>
        </w:rPr>
      </w:pPr>
    </w:p>
    <w:p w14:paraId="7103309A" w14:textId="1E5175E6" w:rsidR="009647D7" w:rsidRDefault="009647D7" w:rsidP="009647D7">
      <w:pPr>
        <w:pStyle w:val="Descripcin"/>
      </w:pPr>
      <w:bookmarkStart w:id="11" w:name="_Toc52293241"/>
      <w:bookmarkStart w:id="12" w:name="_Toc52293317"/>
      <w:r>
        <w:t>Mapa 1. Sentencias por entidad de los hechos</w:t>
      </w:r>
      <w:bookmarkEnd w:id="11"/>
      <w:bookmarkEnd w:id="12"/>
    </w:p>
    <w:p w14:paraId="40F03B98" w14:textId="1B51386D" w:rsidR="009647D7" w:rsidRDefault="000B2FDA" w:rsidP="000B2FDA">
      <w:pPr>
        <w:spacing w:before="240" w:line="360" w:lineRule="auto"/>
        <w:jc w:val="center"/>
        <w:rPr>
          <w:rFonts w:ascii="Helvetica" w:hAnsi="Helvetica"/>
          <w:sz w:val="22"/>
          <w:szCs w:val="22"/>
          <w:lang w:val="es-ES"/>
        </w:rPr>
      </w:pPr>
      <w:r>
        <w:rPr>
          <w:noProof/>
        </w:rPr>
        <w:drawing>
          <wp:inline distT="0" distB="0" distL="0" distR="0" wp14:anchorId="1C6B6C3F" wp14:editId="4F6049F8">
            <wp:extent cx="5045242" cy="303273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52625" cy="3037173"/>
                    </a:xfrm>
                    <a:prstGeom prst="rect">
                      <a:avLst/>
                    </a:prstGeom>
                  </pic:spPr>
                </pic:pic>
              </a:graphicData>
            </a:graphic>
          </wp:inline>
        </w:drawing>
      </w:r>
    </w:p>
    <w:p w14:paraId="78AF5DCC" w14:textId="77777777" w:rsidR="004F29BA" w:rsidRPr="00962293" w:rsidRDefault="004F29BA" w:rsidP="004F29BA">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15EE7947" w14:textId="77777777" w:rsidR="004F29BA" w:rsidRDefault="004F29BA" w:rsidP="004F29BA">
      <w:pPr>
        <w:spacing w:before="240" w:line="360" w:lineRule="auto"/>
        <w:jc w:val="both"/>
        <w:rPr>
          <w:rFonts w:ascii="Helvetica" w:hAnsi="Helvetica"/>
          <w:sz w:val="22"/>
          <w:szCs w:val="22"/>
          <w:lang w:val="es-ES"/>
        </w:rPr>
      </w:pPr>
    </w:p>
    <w:p w14:paraId="23551799" w14:textId="53FBACE6" w:rsidR="009647D7" w:rsidRDefault="009647D7"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De entre ellas, 15 </w:t>
      </w:r>
      <w:r w:rsidR="0006588B">
        <w:rPr>
          <w:rFonts w:ascii="Helvetica" w:hAnsi="Helvetica"/>
          <w:sz w:val="22"/>
          <w:szCs w:val="22"/>
          <w:lang w:val="es-ES"/>
        </w:rPr>
        <w:t>corresponden al ámbito federal, mientras que 1</w:t>
      </w:r>
      <w:r w:rsidR="00DA60F6">
        <w:rPr>
          <w:rFonts w:ascii="Helvetica" w:hAnsi="Helvetica"/>
          <w:sz w:val="22"/>
          <w:szCs w:val="22"/>
          <w:lang w:val="es-ES"/>
        </w:rPr>
        <w:t>3</w:t>
      </w:r>
      <w:r w:rsidR="0006588B">
        <w:rPr>
          <w:rFonts w:ascii="Helvetica" w:hAnsi="Helvetica"/>
          <w:sz w:val="22"/>
          <w:szCs w:val="22"/>
          <w:lang w:val="es-ES"/>
        </w:rPr>
        <w:t xml:space="preserve"> fueron emitidas por tribunales locales. </w:t>
      </w:r>
    </w:p>
    <w:p w14:paraId="7924E00C" w14:textId="77777777" w:rsidR="00BA3299" w:rsidRDefault="00BA3299" w:rsidP="00FE2EB1">
      <w:pPr>
        <w:spacing w:before="240" w:line="360" w:lineRule="auto"/>
        <w:jc w:val="both"/>
        <w:rPr>
          <w:rFonts w:ascii="Helvetica" w:hAnsi="Helvetica"/>
          <w:sz w:val="22"/>
          <w:szCs w:val="22"/>
          <w:lang w:val="es-ES"/>
        </w:rPr>
      </w:pPr>
    </w:p>
    <w:p w14:paraId="4B7C65C4" w14:textId="1B72D140" w:rsidR="000B2FDA" w:rsidRDefault="000B2FDA" w:rsidP="000B2FDA">
      <w:pPr>
        <w:pStyle w:val="Descripcin"/>
      </w:pPr>
      <w:bookmarkStart w:id="13" w:name="_Toc52293242"/>
      <w:bookmarkStart w:id="14" w:name="_Toc52293318"/>
      <w:r>
        <w:t>Gráfica 1. Sentencias por fuero federal o local</w:t>
      </w:r>
      <w:bookmarkEnd w:id="13"/>
      <w:bookmarkEnd w:id="14"/>
    </w:p>
    <w:p w14:paraId="7E11AAAE" w14:textId="45E42F4F" w:rsidR="009647D7" w:rsidRDefault="009647D7" w:rsidP="00A36A1E">
      <w:pPr>
        <w:spacing w:before="240" w:line="360" w:lineRule="auto"/>
        <w:jc w:val="center"/>
        <w:rPr>
          <w:rFonts w:ascii="Helvetica" w:hAnsi="Helvetica"/>
          <w:sz w:val="22"/>
          <w:szCs w:val="22"/>
          <w:lang w:val="es-ES"/>
        </w:rPr>
      </w:pPr>
      <w:r>
        <w:rPr>
          <w:noProof/>
        </w:rPr>
        <w:drawing>
          <wp:inline distT="0" distB="0" distL="0" distR="0" wp14:anchorId="5DF7B60D" wp14:editId="6A71215A">
            <wp:extent cx="4572000" cy="2743200"/>
            <wp:effectExtent l="0" t="0" r="12700" b="12700"/>
            <wp:docPr id="2" name="Gráfico 2">
              <a:extLst xmlns:a="http://schemas.openxmlformats.org/drawingml/2006/main">
                <a:ext uri="{FF2B5EF4-FFF2-40B4-BE49-F238E27FC236}">
                  <a16:creationId xmlns:a16="http://schemas.microsoft.com/office/drawing/2014/main" id="{5AF5B036-CD80-A740-9FDC-F37D656E9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4DCEE2" w14:textId="77777777" w:rsidR="004F29BA" w:rsidRPr="00962293" w:rsidRDefault="004F29BA" w:rsidP="004F29BA">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6149123E" w14:textId="77777777" w:rsidR="004F29BA" w:rsidRDefault="004F29BA" w:rsidP="00FE2EB1">
      <w:pPr>
        <w:spacing w:before="240" w:line="360" w:lineRule="auto"/>
        <w:jc w:val="both"/>
        <w:rPr>
          <w:rFonts w:ascii="Helvetica" w:hAnsi="Helvetica"/>
          <w:sz w:val="22"/>
          <w:szCs w:val="22"/>
          <w:lang w:val="es-ES"/>
        </w:rPr>
      </w:pPr>
    </w:p>
    <w:p w14:paraId="7052DBF3" w14:textId="05F2A015" w:rsidR="00962293" w:rsidRDefault="008D0934"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La enorme mayoría corresponden a primera instancia y solo 3 de ellas a la segunda. </w:t>
      </w:r>
      <w:r w:rsidR="00875CBA">
        <w:rPr>
          <w:rFonts w:ascii="Helvetica" w:hAnsi="Helvetica"/>
          <w:sz w:val="22"/>
          <w:szCs w:val="22"/>
          <w:lang w:val="es-ES"/>
        </w:rPr>
        <w:t>T</w:t>
      </w:r>
      <w:r>
        <w:rPr>
          <w:rFonts w:ascii="Helvetica" w:hAnsi="Helvetica"/>
          <w:sz w:val="22"/>
          <w:szCs w:val="22"/>
          <w:lang w:val="es-ES"/>
        </w:rPr>
        <w:t>an solo 8 sentencias fueron emitidas de conformidad con el procedimiento acusatori</w:t>
      </w:r>
      <w:r w:rsidR="009956DD">
        <w:rPr>
          <w:rFonts w:ascii="Helvetica" w:hAnsi="Helvetica"/>
          <w:sz w:val="22"/>
          <w:szCs w:val="22"/>
          <w:lang w:val="es-ES"/>
        </w:rPr>
        <w:t>o</w:t>
      </w:r>
      <w:r>
        <w:rPr>
          <w:rFonts w:ascii="Helvetica" w:hAnsi="Helvetica"/>
          <w:sz w:val="22"/>
          <w:szCs w:val="22"/>
          <w:lang w:val="es-ES"/>
        </w:rPr>
        <w:t xml:space="preserve"> y todas ellas corresponden al ámbito local. </w:t>
      </w:r>
      <w:r w:rsidR="003B55F7">
        <w:rPr>
          <w:rFonts w:ascii="Helvetica" w:hAnsi="Helvetica"/>
          <w:sz w:val="22"/>
          <w:szCs w:val="22"/>
          <w:lang w:val="es-ES"/>
        </w:rPr>
        <w:t>En cuanto al sentido de las sentencias, 21 decretaron condenas, 4 absolvieron y 2 absolvieron por otros delitos pero condena</w:t>
      </w:r>
      <w:r w:rsidR="00541E3B">
        <w:rPr>
          <w:rFonts w:ascii="Helvetica" w:hAnsi="Helvetica"/>
          <w:sz w:val="22"/>
          <w:szCs w:val="22"/>
          <w:lang w:val="es-ES"/>
        </w:rPr>
        <w:t>ron</w:t>
      </w:r>
      <w:r w:rsidR="003B55F7">
        <w:rPr>
          <w:rFonts w:ascii="Helvetica" w:hAnsi="Helvetica"/>
          <w:sz w:val="22"/>
          <w:szCs w:val="22"/>
          <w:lang w:val="es-ES"/>
        </w:rPr>
        <w:t xml:space="preserve"> por desaparición.</w:t>
      </w:r>
      <w:r w:rsidR="003B55F7">
        <w:rPr>
          <w:rStyle w:val="Refdenotaalpie"/>
          <w:rFonts w:ascii="Helvetica" w:hAnsi="Helvetica"/>
          <w:sz w:val="22"/>
          <w:szCs w:val="22"/>
          <w:lang w:val="es-ES"/>
        </w:rPr>
        <w:footnoteReference w:id="4"/>
      </w:r>
    </w:p>
    <w:p w14:paraId="78E27CA8" w14:textId="6971E3E1" w:rsidR="00DC56C8" w:rsidRDefault="00DC56C8" w:rsidP="00DC56C8">
      <w:pPr>
        <w:pStyle w:val="Descripcin"/>
      </w:pPr>
      <w:bookmarkStart w:id="15" w:name="_Toc52293243"/>
      <w:bookmarkStart w:id="16" w:name="_Toc52293319"/>
      <w:r>
        <w:lastRenderedPageBreak/>
        <w:t xml:space="preserve">Gráfica 2. </w:t>
      </w:r>
      <w:r w:rsidR="00B0741F">
        <w:t>Condenas por fuero</w:t>
      </w:r>
      <w:r w:rsidR="00A74D9C">
        <w:t xml:space="preserve"> (porcentaje)</w:t>
      </w:r>
      <w:bookmarkEnd w:id="15"/>
      <w:bookmarkEnd w:id="16"/>
    </w:p>
    <w:p w14:paraId="6D80848C" w14:textId="0D577381" w:rsidR="00DC56C8" w:rsidRDefault="00A74D9C" w:rsidP="00B0741F">
      <w:pPr>
        <w:spacing w:before="240" w:line="360" w:lineRule="auto"/>
        <w:jc w:val="center"/>
        <w:rPr>
          <w:rFonts w:ascii="Helvetica" w:hAnsi="Helvetica"/>
          <w:sz w:val="22"/>
          <w:szCs w:val="22"/>
          <w:lang w:val="es-ES"/>
        </w:rPr>
      </w:pPr>
      <w:r>
        <w:rPr>
          <w:noProof/>
        </w:rPr>
        <w:drawing>
          <wp:inline distT="0" distB="0" distL="0" distR="0" wp14:anchorId="6EF6CF90" wp14:editId="411E67F8">
            <wp:extent cx="4572000" cy="2743200"/>
            <wp:effectExtent l="0" t="0" r="12700" b="12700"/>
            <wp:docPr id="4" name="Gráfico 4">
              <a:extLst xmlns:a="http://schemas.openxmlformats.org/drawingml/2006/main">
                <a:ext uri="{FF2B5EF4-FFF2-40B4-BE49-F238E27FC236}">
                  <a16:creationId xmlns:a16="http://schemas.microsoft.com/office/drawing/2014/main" id="{1FBE6F95-2796-8346-9141-B198369C2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F1436C" w14:textId="77777777" w:rsidR="004F29BA" w:rsidRPr="00962293" w:rsidRDefault="004F29BA" w:rsidP="004F29BA">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2B4FA171" w14:textId="77777777" w:rsidR="004F29BA" w:rsidRDefault="004F29BA" w:rsidP="00FE2EB1">
      <w:pPr>
        <w:spacing w:before="240" w:line="360" w:lineRule="auto"/>
        <w:jc w:val="both"/>
        <w:rPr>
          <w:rFonts w:ascii="Helvetica" w:hAnsi="Helvetica"/>
          <w:sz w:val="22"/>
          <w:szCs w:val="22"/>
          <w:lang w:val="es-ES"/>
        </w:rPr>
      </w:pPr>
    </w:p>
    <w:p w14:paraId="069369C3" w14:textId="03067F55" w:rsidR="00875CBA" w:rsidRDefault="008D0934"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En vista de la fecha de ocurridos los hechos y de la emisión de las sentencias </w:t>
      </w:r>
      <w:r w:rsidR="000D593C">
        <w:rPr>
          <w:rFonts w:ascii="Helvetica" w:hAnsi="Helvetica"/>
          <w:sz w:val="22"/>
          <w:szCs w:val="22"/>
          <w:lang w:val="es-ES"/>
        </w:rPr>
        <w:t xml:space="preserve">la mayoría se </w:t>
      </w:r>
      <w:r w:rsidR="00875CBA">
        <w:rPr>
          <w:rFonts w:ascii="Helvetica" w:hAnsi="Helvetica"/>
          <w:sz w:val="22"/>
          <w:szCs w:val="22"/>
          <w:lang w:val="es-ES"/>
        </w:rPr>
        <w:t xml:space="preserve">emitieron de acuerdo con la tipificación existente hasta </w:t>
      </w:r>
      <w:r w:rsidR="002276D5">
        <w:rPr>
          <w:rFonts w:ascii="Helvetica" w:hAnsi="Helvetica"/>
          <w:sz w:val="22"/>
          <w:szCs w:val="22"/>
          <w:lang w:val="es-ES"/>
        </w:rPr>
        <w:t xml:space="preserve">antes </w:t>
      </w:r>
      <w:r w:rsidR="00875CBA">
        <w:rPr>
          <w:rFonts w:ascii="Helvetica" w:hAnsi="Helvetica"/>
          <w:sz w:val="22"/>
          <w:szCs w:val="22"/>
          <w:lang w:val="es-ES"/>
        </w:rPr>
        <w:t>2017 para el delito de desaparición forzada</w:t>
      </w:r>
      <w:r w:rsidR="00624EE2">
        <w:rPr>
          <w:rFonts w:ascii="Helvetica" w:hAnsi="Helvetica"/>
          <w:sz w:val="22"/>
          <w:szCs w:val="22"/>
          <w:lang w:val="es-ES"/>
        </w:rPr>
        <w:t>,</w:t>
      </w:r>
      <w:r w:rsidR="00875CBA">
        <w:rPr>
          <w:rFonts w:ascii="Helvetica" w:hAnsi="Helvetica"/>
          <w:sz w:val="22"/>
          <w:szCs w:val="22"/>
          <w:lang w:val="es-ES"/>
        </w:rPr>
        <w:t xml:space="preserve"> forzosa</w:t>
      </w:r>
      <w:r w:rsidR="00624EE2">
        <w:rPr>
          <w:rFonts w:ascii="Helvetica" w:hAnsi="Helvetica"/>
          <w:sz w:val="22"/>
          <w:szCs w:val="22"/>
          <w:lang w:val="es-ES"/>
        </w:rPr>
        <w:t xml:space="preserve"> o privación de la libertad física (Veracruz)</w:t>
      </w:r>
      <w:r w:rsidR="00875CBA">
        <w:rPr>
          <w:rFonts w:ascii="Helvetica" w:hAnsi="Helvetica"/>
          <w:sz w:val="22"/>
          <w:szCs w:val="22"/>
          <w:lang w:val="es-ES"/>
        </w:rPr>
        <w:t xml:space="preserve"> en los códigos penales federales o locales. Únicamente dos sentencias de las analizadas (la 76/2018 de Chihuahua y una más de Nuevo León del 26 de marzo de 2019) se emitieron de conformidad </w:t>
      </w:r>
      <w:r w:rsidR="00867244">
        <w:rPr>
          <w:rFonts w:ascii="Helvetica" w:hAnsi="Helvetica"/>
          <w:sz w:val="22"/>
          <w:szCs w:val="22"/>
          <w:lang w:val="es-ES"/>
        </w:rPr>
        <w:t xml:space="preserve">con la </w:t>
      </w:r>
      <w:r w:rsidR="00E560FD">
        <w:rPr>
          <w:rFonts w:ascii="Helvetica" w:hAnsi="Helvetica"/>
          <w:sz w:val="22"/>
          <w:szCs w:val="22"/>
          <w:lang w:val="es-ES"/>
        </w:rPr>
        <w:t>Ley General en materia de Desaparición Forzada de Personas, Desaparición cometida por particulares y del Sistema Nacional de Búsqueda de Personas (</w:t>
      </w:r>
      <w:r w:rsidR="00867244">
        <w:rPr>
          <w:rFonts w:ascii="Helvetica" w:hAnsi="Helvetica"/>
          <w:sz w:val="22"/>
          <w:szCs w:val="22"/>
          <w:lang w:val="es-ES"/>
        </w:rPr>
        <w:t>Ley General</w:t>
      </w:r>
      <w:r w:rsidR="00E560FD">
        <w:rPr>
          <w:rFonts w:ascii="Helvetica" w:hAnsi="Helvetica"/>
          <w:sz w:val="22"/>
          <w:szCs w:val="22"/>
          <w:lang w:val="es-ES"/>
        </w:rPr>
        <w:t>)</w:t>
      </w:r>
      <w:r w:rsidR="00867244">
        <w:rPr>
          <w:rFonts w:ascii="Helvetica" w:hAnsi="Helvetica"/>
          <w:sz w:val="22"/>
          <w:szCs w:val="22"/>
          <w:lang w:val="es-ES"/>
        </w:rPr>
        <w:t xml:space="preserve">. </w:t>
      </w:r>
      <w:r w:rsidR="001963D7">
        <w:rPr>
          <w:rFonts w:ascii="Helvetica" w:hAnsi="Helvetica"/>
          <w:sz w:val="22"/>
          <w:szCs w:val="22"/>
          <w:lang w:val="es-ES"/>
        </w:rPr>
        <w:t xml:space="preserve">También por ello es explicable que en la gran mayoría de los casos, los perpetradores son agentes estatales, aunque en dos casos se sentencia a particulares y en cuatro más a personas identificadas como pertenecientes a grupos criminales. </w:t>
      </w:r>
    </w:p>
    <w:p w14:paraId="604D2432" w14:textId="57CE558F" w:rsidR="00624EE2" w:rsidRDefault="00624EE2"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En cuanto al tiempo de emisión de las sentencias, el promedio general es de </w:t>
      </w:r>
      <w:r w:rsidR="007A3EEB">
        <w:rPr>
          <w:rFonts w:ascii="Helvetica" w:hAnsi="Helvetica"/>
          <w:sz w:val="22"/>
          <w:szCs w:val="22"/>
          <w:lang w:val="es-ES"/>
        </w:rPr>
        <w:t>1535</w:t>
      </w:r>
      <w:r>
        <w:rPr>
          <w:rFonts w:ascii="Helvetica" w:hAnsi="Helvetica"/>
          <w:sz w:val="22"/>
          <w:szCs w:val="22"/>
          <w:lang w:val="es-ES"/>
        </w:rPr>
        <w:t>.</w:t>
      </w:r>
      <w:r w:rsidR="007A3EEB">
        <w:rPr>
          <w:rFonts w:ascii="Helvetica" w:hAnsi="Helvetica"/>
          <w:sz w:val="22"/>
          <w:szCs w:val="22"/>
          <w:lang w:val="es-ES"/>
        </w:rPr>
        <w:t>9</w:t>
      </w:r>
      <w:r>
        <w:rPr>
          <w:rFonts w:ascii="Helvetica" w:hAnsi="Helvetica"/>
          <w:sz w:val="22"/>
          <w:szCs w:val="22"/>
          <w:lang w:val="es-ES"/>
        </w:rPr>
        <w:t xml:space="preserve"> días</w:t>
      </w:r>
      <w:r w:rsidR="007A3EEB">
        <w:rPr>
          <w:rFonts w:ascii="Helvetica" w:hAnsi="Helvetica"/>
          <w:sz w:val="22"/>
          <w:szCs w:val="22"/>
          <w:lang w:val="es-ES"/>
        </w:rPr>
        <w:t xml:space="preserve"> desde sucedidos los hechos hasta la fecha de la sentencia. Lo anterior sin considerar la sentencia de la causa 179/2006 del fuero federal en el estado de Sinaloa por hechos vinculados a la llamada “Guerra Sucia” que tardó 11,706 días desde ocurridos los hechos. </w:t>
      </w:r>
      <w:r w:rsidR="002276D5">
        <w:rPr>
          <w:rFonts w:ascii="Helvetica" w:hAnsi="Helvetica"/>
          <w:sz w:val="22"/>
          <w:szCs w:val="22"/>
          <w:lang w:val="es-ES"/>
        </w:rPr>
        <w:t>L</w:t>
      </w:r>
      <w:r>
        <w:rPr>
          <w:rFonts w:ascii="Helvetica" w:hAnsi="Helvetica"/>
          <w:sz w:val="22"/>
          <w:szCs w:val="22"/>
          <w:lang w:val="es-ES"/>
        </w:rPr>
        <w:t xml:space="preserve">a </w:t>
      </w:r>
      <w:r w:rsidR="007A3EEB">
        <w:rPr>
          <w:rFonts w:ascii="Helvetica" w:hAnsi="Helvetica"/>
          <w:sz w:val="22"/>
          <w:szCs w:val="22"/>
          <w:lang w:val="es-ES"/>
        </w:rPr>
        <w:t xml:space="preserve">sentencia </w:t>
      </w:r>
      <w:r w:rsidR="002276D5">
        <w:rPr>
          <w:rFonts w:ascii="Helvetica" w:hAnsi="Helvetica"/>
          <w:sz w:val="22"/>
          <w:szCs w:val="22"/>
          <w:lang w:val="es-ES"/>
        </w:rPr>
        <w:t xml:space="preserve">en ser emitida </w:t>
      </w:r>
      <w:r>
        <w:rPr>
          <w:rFonts w:ascii="Helvetica" w:hAnsi="Helvetica"/>
          <w:sz w:val="22"/>
          <w:szCs w:val="22"/>
          <w:lang w:val="es-ES"/>
        </w:rPr>
        <w:t>más rápid</w:t>
      </w:r>
      <w:r w:rsidR="002276D5">
        <w:rPr>
          <w:rFonts w:ascii="Helvetica" w:hAnsi="Helvetica"/>
          <w:sz w:val="22"/>
          <w:szCs w:val="22"/>
          <w:lang w:val="es-ES"/>
        </w:rPr>
        <w:t>o es la de</w:t>
      </w:r>
      <w:r>
        <w:rPr>
          <w:rFonts w:ascii="Helvetica" w:hAnsi="Helvetica"/>
          <w:sz w:val="22"/>
          <w:szCs w:val="22"/>
          <w:lang w:val="es-ES"/>
        </w:rPr>
        <w:t xml:space="preserve"> la causa penal 159/2005</w:t>
      </w:r>
      <w:r w:rsidR="007A3EEB">
        <w:rPr>
          <w:rFonts w:ascii="Helvetica" w:hAnsi="Helvetica"/>
          <w:sz w:val="22"/>
          <w:szCs w:val="22"/>
          <w:lang w:val="es-ES"/>
        </w:rPr>
        <w:t xml:space="preserve"> IV en el estado de Chihuahua con 411 días, mientras que la más tardada fue la emitida para la causa </w:t>
      </w:r>
      <w:r w:rsidR="007A3EEB">
        <w:rPr>
          <w:rFonts w:ascii="Helvetica" w:hAnsi="Helvetica"/>
          <w:sz w:val="22"/>
          <w:szCs w:val="22"/>
          <w:lang w:val="es-ES"/>
        </w:rPr>
        <w:lastRenderedPageBreak/>
        <w:t xml:space="preserve">26/2013 en el </w:t>
      </w:r>
      <w:r w:rsidR="002276D5">
        <w:rPr>
          <w:rFonts w:ascii="Helvetica" w:hAnsi="Helvetica"/>
          <w:sz w:val="22"/>
          <w:szCs w:val="22"/>
          <w:lang w:val="es-ES"/>
        </w:rPr>
        <w:t>mismo estado con</w:t>
      </w:r>
      <w:r w:rsidR="007A3EEB">
        <w:rPr>
          <w:rFonts w:ascii="Helvetica" w:hAnsi="Helvetica"/>
          <w:sz w:val="22"/>
          <w:szCs w:val="22"/>
          <w:lang w:val="es-ES"/>
        </w:rPr>
        <w:t xml:space="preserve"> 3478 días, poco menos de diez años. </w:t>
      </w:r>
      <w:r w:rsidR="00795333">
        <w:rPr>
          <w:rFonts w:ascii="Helvetica" w:hAnsi="Helvetica"/>
          <w:sz w:val="22"/>
          <w:szCs w:val="22"/>
          <w:lang w:val="es-ES"/>
        </w:rPr>
        <w:t xml:space="preserve">Si bien el tiempo de emisión de las sentencias depende de la complejidad del caso, así como de la </w:t>
      </w:r>
      <w:proofErr w:type="spellStart"/>
      <w:r w:rsidR="00795333">
        <w:rPr>
          <w:rFonts w:ascii="Helvetica" w:hAnsi="Helvetica"/>
          <w:sz w:val="22"/>
          <w:szCs w:val="22"/>
          <w:lang w:val="es-ES"/>
        </w:rPr>
        <w:t>litigiosidad</w:t>
      </w:r>
      <w:proofErr w:type="spellEnd"/>
      <w:r w:rsidR="00795333">
        <w:rPr>
          <w:rFonts w:ascii="Helvetica" w:hAnsi="Helvetica"/>
          <w:sz w:val="22"/>
          <w:szCs w:val="22"/>
          <w:lang w:val="es-ES"/>
        </w:rPr>
        <w:t xml:space="preserve"> de las partes, los casos analizados son relativamente constantes en cuanto al tiempo de emisión entre los hechos y la resolución de primera instancia. </w:t>
      </w:r>
    </w:p>
    <w:p w14:paraId="21B52532" w14:textId="77777777" w:rsidR="0099553F" w:rsidRDefault="0099553F" w:rsidP="00FE2EB1">
      <w:pPr>
        <w:spacing w:before="240" w:line="360" w:lineRule="auto"/>
        <w:jc w:val="both"/>
        <w:rPr>
          <w:rFonts w:ascii="Helvetica" w:hAnsi="Helvetica"/>
          <w:sz w:val="22"/>
          <w:szCs w:val="22"/>
          <w:lang w:val="es-ES"/>
        </w:rPr>
      </w:pPr>
    </w:p>
    <w:p w14:paraId="1393D5CD" w14:textId="72AFA809" w:rsidR="0099553F" w:rsidRDefault="0099553F" w:rsidP="0099553F">
      <w:pPr>
        <w:pStyle w:val="Descripcin"/>
      </w:pPr>
      <w:bookmarkStart w:id="17" w:name="_Toc52293244"/>
      <w:bookmarkStart w:id="18" w:name="_Toc52293320"/>
      <w:r>
        <w:t>Gráfica 3. Días entre los hechos y la sentencia</w:t>
      </w:r>
      <w:bookmarkEnd w:id="17"/>
      <w:bookmarkEnd w:id="18"/>
    </w:p>
    <w:p w14:paraId="455F3365" w14:textId="3D60A543" w:rsidR="0099553F" w:rsidRDefault="0099553F" w:rsidP="00F24458">
      <w:pPr>
        <w:jc w:val="both"/>
        <w:rPr>
          <w:rFonts w:ascii="Helvetica" w:hAnsi="Helvetica"/>
          <w:sz w:val="22"/>
          <w:szCs w:val="22"/>
          <w:lang w:val="es-ES"/>
        </w:rPr>
      </w:pPr>
      <w:r>
        <w:rPr>
          <w:noProof/>
        </w:rPr>
        <w:drawing>
          <wp:inline distT="0" distB="0" distL="0" distR="0" wp14:anchorId="0DC0CAD1" wp14:editId="7E4CA4B3">
            <wp:extent cx="5612130" cy="2887345"/>
            <wp:effectExtent l="0" t="0" r="13970" b="8255"/>
            <wp:docPr id="5" name="Gráfico 5">
              <a:extLst xmlns:a="http://schemas.openxmlformats.org/drawingml/2006/main">
                <a:ext uri="{FF2B5EF4-FFF2-40B4-BE49-F238E27FC236}">
                  <a16:creationId xmlns:a16="http://schemas.microsoft.com/office/drawing/2014/main" id="{2DEA9FD7-76EE-5A41-AE77-5DCB5800DC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B0DAB9" w14:textId="753EB355" w:rsidR="0099553F" w:rsidRPr="00F24458" w:rsidRDefault="004F29BA" w:rsidP="004F29BA">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r w:rsidR="00F24458" w:rsidRPr="00F24458">
        <w:rPr>
          <w:rFonts w:ascii="Helvetica" w:hAnsi="Helvetica"/>
          <w:sz w:val="18"/>
          <w:szCs w:val="18"/>
          <w:lang w:val="es-ES"/>
        </w:rPr>
        <w:t>Nota: F se refiere al fuero federal y L al fuero local</w:t>
      </w:r>
      <w:r>
        <w:rPr>
          <w:rFonts w:ascii="Helvetica" w:hAnsi="Helvetica"/>
          <w:sz w:val="18"/>
          <w:szCs w:val="18"/>
          <w:lang w:val="es-ES"/>
        </w:rPr>
        <w:t>.</w:t>
      </w:r>
    </w:p>
    <w:p w14:paraId="0A728183" w14:textId="3A67CA9D" w:rsidR="00430556" w:rsidRDefault="00463B33"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Las sentencias aportan muy poca información respecto de las víctimas de desaparición, aunque la mayoría de ellas sí contiene información sobre datos personales, la misma se encuentra testada de conformidad con la legislación correspondiente. </w:t>
      </w:r>
      <w:r w:rsidR="00FD5A8D">
        <w:rPr>
          <w:rFonts w:ascii="Helvetica" w:hAnsi="Helvetica"/>
          <w:sz w:val="22"/>
          <w:szCs w:val="22"/>
          <w:lang w:val="es-ES"/>
        </w:rPr>
        <w:t xml:space="preserve">El sexo de las víctimas es el único dato constante que es identificable en todas las sentencias. </w:t>
      </w:r>
      <w:r>
        <w:rPr>
          <w:rFonts w:ascii="Helvetica" w:hAnsi="Helvetica"/>
          <w:sz w:val="22"/>
          <w:szCs w:val="22"/>
          <w:lang w:val="es-ES"/>
        </w:rPr>
        <w:t xml:space="preserve">En </w:t>
      </w:r>
      <w:r w:rsidR="00FD5A8D">
        <w:rPr>
          <w:rFonts w:ascii="Helvetica" w:hAnsi="Helvetica"/>
          <w:sz w:val="22"/>
          <w:szCs w:val="22"/>
          <w:lang w:val="es-ES"/>
        </w:rPr>
        <w:t>cinco</w:t>
      </w:r>
      <w:r>
        <w:rPr>
          <w:rFonts w:ascii="Helvetica" w:hAnsi="Helvetica"/>
          <w:sz w:val="22"/>
          <w:szCs w:val="22"/>
          <w:lang w:val="es-ES"/>
        </w:rPr>
        <w:t xml:space="preserve"> casos las víctimas fueron mujeres, mientras que en dos más las víctimas fueron tanto hombres como mujeres.</w:t>
      </w:r>
      <w:r w:rsidR="00C8714C">
        <w:rPr>
          <w:rStyle w:val="Refdenotaalpie"/>
          <w:rFonts w:ascii="Helvetica" w:hAnsi="Helvetica"/>
          <w:sz w:val="22"/>
          <w:szCs w:val="22"/>
          <w:lang w:val="es-ES"/>
        </w:rPr>
        <w:footnoteReference w:id="5"/>
      </w:r>
      <w:r w:rsidR="00FD5A8D">
        <w:rPr>
          <w:rFonts w:ascii="Helvetica" w:hAnsi="Helvetica"/>
          <w:sz w:val="22"/>
          <w:szCs w:val="22"/>
          <w:lang w:val="es-ES"/>
        </w:rPr>
        <w:t xml:space="preserve"> </w:t>
      </w:r>
      <w:r w:rsidR="00C8714C">
        <w:rPr>
          <w:rFonts w:ascii="Helvetica" w:hAnsi="Helvetica"/>
          <w:sz w:val="22"/>
          <w:szCs w:val="22"/>
          <w:lang w:val="es-ES"/>
        </w:rPr>
        <w:t>Los hechos específicos de estas sentencias muestran la heterogeneidad del conjunto de casos analizados</w:t>
      </w:r>
      <w:r w:rsidR="00EF475E">
        <w:rPr>
          <w:rFonts w:ascii="Helvetica" w:hAnsi="Helvetica"/>
          <w:sz w:val="22"/>
          <w:szCs w:val="22"/>
          <w:lang w:val="es-ES"/>
        </w:rPr>
        <w:t>: dos se vinculan con hechos de extorsión por parte de autoridades, tres con acciones del crimen organizado en conjunto con autoridades y dos</w:t>
      </w:r>
      <w:r>
        <w:rPr>
          <w:rFonts w:ascii="Helvetica" w:hAnsi="Helvetica"/>
          <w:sz w:val="22"/>
          <w:szCs w:val="22"/>
          <w:lang w:val="es-ES"/>
        </w:rPr>
        <w:t xml:space="preserve"> </w:t>
      </w:r>
      <w:r w:rsidR="00EF475E">
        <w:rPr>
          <w:rFonts w:ascii="Helvetica" w:hAnsi="Helvetica"/>
          <w:sz w:val="22"/>
          <w:szCs w:val="22"/>
          <w:lang w:val="es-ES"/>
        </w:rPr>
        <w:t>más con abusos de poder por parte de las autoridades. En las sentencias no se permite identificar un rol de género para las mujeres víctimas o una mayor incidencia de los hechos en razón del género.</w:t>
      </w:r>
    </w:p>
    <w:p w14:paraId="65DF2EEB" w14:textId="54EE8C84" w:rsidR="00FD5A8D" w:rsidRDefault="00430556" w:rsidP="00FE2EB1">
      <w:pPr>
        <w:spacing w:before="240" w:line="360" w:lineRule="auto"/>
        <w:jc w:val="both"/>
        <w:rPr>
          <w:rFonts w:ascii="Helvetica" w:hAnsi="Helvetica"/>
          <w:sz w:val="22"/>
          <w:szCs w:val="22"/>
          <w:lang w:val="es-ES"/>
        </w:rPr>
      </w:pPr>
      <w:r>
        <w:rPr>
          <w:rFonts w:ascii="Helvetica" w:hAnsi="Helvetica"/>
          <w:sz w:val="22"/>
          <w:szCs w:val="22"/>
          <w:lang w:val="es-ES"/>
        </w:rPr>
        <w:lastRenderedPageBreak/>
        <w:t xml:space="preserve">La falta de información respecto de las víctimas en las sentencias penales no es de extrañar en un sistema penal </w:t>
      </w:r>
      <w:r w:rsidRPr="005C756D">
        <w:rPr>
          <w:rFonts w:ascii="Helvetica" w:hAnsi="Helvetica"/>
          <w:sz w:val="22"/>
          <w:szCs w:val="22"/>
          <w:lang w:val="es-ES"/>
        </w:rPr>
        <w:t>que las considera con cierta timidez</w:t>
      </w:r>
      <w:r>
        <w:rPr>
          <w:rFonts w:ascii="Helvetica" w:hAnsi="Helvetica"/>
          <w:sz w:val="22"/>
          <w:szCs w:val="22"/>
          <w:lang w:val="es-ES"/>
        </w:rPr>
        <w:t>. En cambio, las sentencias aportan más información respecto de los perpetradores</w:t>
      </w:r>
      <w:r w:rsidR="00F46E62">
        <w:rPr>
          <w:rFonts w:ascii="Helvetica" w:hAnsi="Helvetica"/>
          <w:sz w:val="22"/>
          <w:szCs w:val="22"/>
          <w:lang w:val="es-ES"/>
        </w:rPr>
        <w:t xml:space="preserve">. Como ya se mencionó, la gran mayoría de los </w:t>
      </w:r>
      <w:r w:rsidR="002A768B">
        <w:rPr>
          <w:rFonts w:ascii="Helvetica" w:hAnsi="Helvetica"/>
          <w:sz w:val="22"/>
          <w:szCs w:val="22"/>
          <w:lang w:val="es-ES"/>
        </w:rPr>
        <w:t>acusados</w:t>
      </w:r>
      <w:r w:rsidR="00F46E62">
        <w:rPr>
          <w:rFonts w:ascii="Helvetica" w:hAnsi="Helvetica"/>
          <w:sz w:val="22"/>
          <w:szCs w:val="22"/>
          <w:lang w:val="es-ES"/>
        </w:rPr>
        <w:t xml:space="preserve"> son agentes estatales, mismos que se distribuyen de la siguiente forma:</w:t>
      </w:r>
    </w:p>
    <w:p w14:paraId="3E17CD48" w14:textId="17B18129" w:rsidR="00501BB8" w:rsidRDefault="00501BB8" w:rsidP="00501BB8">
      <w:pPr>
        <w:spacing w:line="360" w:lineRule="auto"/>
        <w:jc w:val="both"/>
        <w:rPr>
          <w:rFonts w:ascii="Helvetica" w:hAnsi="Helvetica"/>
          <w:sz w:val="22"/>
          <w:szCs w:val="22"/>
          <w:lang w:val="es-ES"/>
        </w:rPr>
      </w:pPr>
    </w:p>
    <w:p w14:paraId="0FB4B021" w14:textId="26266F28" w:rsidR="00AC4A9E" w:rsidRDefault="00AC4A9E" w:rsidP="00AC4A9E">
      <w:pPr>
        <w:pStyle w:val="Descripcin"/>
      </w:pPr>
      <w:bookmarkStart w:id="19" w:name="_Toc52293245"/>
      <w:bookmarkStart w:id="20" w:name="_Toc52293321"/>
      <w:r>
        <w:t xml:space="preserve">Gráfica 4. </w:t>
      </w:r>
      <w:r w:rsidR="00216FB3">
        <w:t>Acusados</w:t>
      </w:r>
      <w:r>
        <w:t>: agentes estatales</w:t>
      </w:r>
      <w:bookmarkEnd w:id="19"/>
      <w:bookmarkEnd w:id="20"/>
    </w:p>
    <w:p w14:paraId="70860971" w14:textId="13630010" w:rsidR="00AC4A9E" w:rsidRDefault="00AC4A9E" w:rsidP="00501BB8">
      <w:pPr>
        <w:spacing w:line="360" w:lineRule="auto"/>
        <w:jc w:val="both"/>
        <w:rPr>
          <w:rFonts w:ascii="Helvetica" w:hAnsi="Helvetica"/>
          <w:sz w:val="22"/>
          <w:szCs w:val="22"/>
          <w:lang w:val="es-ES"/>
        </w:rPr>
      </w:pPr>
      <w:r>
        <w:rPr>
          <w:noProof/>
        </w:rPr>
        <w:drawing>
          <wp:inline distT="0" distB="0" distL="0" distR="0" wp14:anchorId="135F07CF" wp14:editId="0788C25F">
            <wp:extent cx="5612130" cy="3452495"/>
            <wp:effectExtent l="0" t="0" r="13970" b="14605"/>
            <wp:docPr id="7" name="Gráfico 7">
              <a:extLst xmlns:a="http://schemas.openxmlformats.org/drawingml/2006/main">
                <a:ext uri="{FF2B5EF4-FFF2-40B4-BE49-F238E27FC236}">
                  <a16:creationId xmlns:a16="http://schemas.microsoft.com/office/drawing/2014/main" id="{B52F2913-3F15-744C-927F-79C9F892A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BCDCD0" w14:textId="77777777" w:rsidR="00165EEC" w:rsidRPr="00962293" w:rsidRDefault="00165EEC" w:rsidP="00165EEC">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5806147E" w14:textId="77777777" w:rsidR="00AC4A9E" w:rsidRDefault="00AC4A9E" w:rsidP="00501BB8">
      <w:pPr>
        <w:spacing w:line="360" w:lineRule="auto"/>
        <w:jc w:val="both"/>
        <w:rPr>
          <w:rFonts w:ascii="Helvetica" w:hAnsi="Helvetica"/>
          <w:sz w:val="22"/>
          <w:szCs w:val="22"/>
          <w:lang w:val="es-ES"/>
        </w:rPr>
      </w:pPr>
    </w:p>
    <w:p w14:paraId="48895802" w14:textId="5C4113B9" w:rsidR="00216FB3" w:rsidRDefault="0039758E"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En 22 de las </w:t>
      </w:r>
      <w:r w:rsidR="00AD004B">
        <w:rPr>
          <w:rFonts w:ascii="Helvetica" w:hAnsi="Helvetica"/>
          <w:sz w:val="22"/>
          <w:szCs w:val="22"/>
          <w:lang w:val="es-ES"/>
        </w:rPr>
        <w:t xml:space="preserve">28 sentencias analizadas los </w:t>
      </w:r>
      <w:r w:rsidR="00216FB3">
        <w:rPr>
          <w:rFonts w:ascii="Helvetica" w:hAnsi="Helvetica"/>
          <w:sz w:val="22"/>
          <w:szCs w:val="22"/>
          <w:lang w:val="es-ES"/>
        </w:rPr>
        <w:t>acusados</w:t>
      </w:r>
      <w:r w:rsidR="00AD004B">
        <w:rPr>
          <w:rFonts w:ascii="Helvetica" w:hAnsi="Helvetica"/>
          <w:sz w:val="22"/>
          <w:szCs w:val="22"/>
          <w:lang w:val="es-ES"/>
        </w:rPr>
        <w:t xml:space="preserve"> son agentes de autoridad. </w:t>
      </w:r>
      <w:r w:rsidR="004516EA">
        <w:rPr>
          <w:rFonts w:ascii="Helvetica" w:hAnsi="Helvetica"/>
          <w:sz w:val="22"/>
          <w:szCs w:val="22"/>
          <w:lang w:val="es-ES"/>
        </w:rPr>
        <w:t>Salvo en tres casos, los agentes de autoridad son condenados, sin embargo, las penas son muy variadas. El promedio de la pena es de 19.4 años y van desde los 3 años hasta los 79 en un caso donde se cometieron diversos delitos</w:t>
      </w:r>
      <w:r w:rsidR="007A5576">
        <w:rPr>
          <w:rFonts w:ascii="Helvetica" w:hAnsi="Helvetica"/>
          <w:sz w:val="22"/>
          <w:szCs w:val="22"/>
          <w:lang w:val="es-ES"/>
        </w:rPr>
        <w:t xml:space="preserve"> (ver anexo 2)</w:t>
      </w:r>
      <w:r w:rsidR="004516EA">
        <w:rPr>
          <w:rFonts w:ascii="Helvetica" w:hAnsi="Helvetica"/>
          <w:sz w:val="22"/>
          <w:szCs w:val="22"/>
          <w:lang w:val="es-ES"/>
        </w:rPr>
        <w:t xml:space="preserve">. </w:t>
      </w:r>
      <w:r w:rsidR="007A5576">
        <w:rPr>
          <w:rFonts w:ascii="Helvetica" w:hAnsi="Helvetica"/>
          <w:sz w:val="22"/>
          <w:szCs w:val="22"/>
          <w:lang w:val="es-ES"/>
        </w:rPr>
        <w:t>E</w:t>
      </w:r>
      <w:r w:rsidR="004516EA">
        <w:rPr>
          <w:rFonts w:ascii="Helvetica" w:hAnsi="Helvetica"/>
          <w:sz w:val="22"/>
          <w:szCs w:val="22"/>
          <w:lang w:val="es-ES"/>
        </w:rPr>
        <w:t>stas penas carecen, en muchos casos, de proporcionalidad</w:t>
      </w:r>
      <w:r w:rsidR="00216FB3">
        <w:rPr>
          <w:rFonts w:ascii="Helvetica" w:hAnsi="Helvetica"/>
          <w:sz w:val="22"/>
          <w:szCs w:val="22"/>
          <w:lang w:val="es-ES"/>
        </w:rPr>
        <w:t xml:space="preserve">, pues apenas y se valora la conducta cometida (acto). Prácticamente solo se consideran los factores personales (autor) para la determinación de la pena. </w:t>
      </w:r>
    </w:p>
    <w:p w14:paraId="2663A888" w14:textId="6B064557" w:rsidR="00216FB3" w:rsidRDefault="00216FB3" w:rsidP="00216FB3">
      <w:pPr>
        <w:pStyle w:val="Descripcin"/>
      </w:pPr>
      <w:bookmarkStart w:id="21" w:name="_Toc52293246"/>
      <w:bookmarkStart w:id="22" w:name="_Toc52293322"/>
      <w:r>
        <w:lastRenderedPageBreak/>
        <w:t>Gráfica 5. Condenas de prisión por tipo de agente de autoridad</w:t>
      </w:r>
      <w:bookmarkEnd w:id="21"/>
      <w:bookmarkEnd w:id="22"/>
    </w:p>
    <w:p w14:paraId="0BFAB7E0" w14:textId="5D7701F8" w:rsidR="00216FB3" w:rsidRDefault="00216FB3" w:rsidP="00FE2EB1">
      <w:pPr>
        <w:spacing w:before="240" w:line="360" w:lineRule="auto"/>
        <w:jc w:val="both"/>
        <w:rPr>
          <w:rFonts w:ascii="Helvetica" w:hAnsi="Helvetica"/>
          <w:sz w:val="22"/>
          <w:szCs w:val="22"/>
          <w:lang w:val="es-ES"/>
        </w:rPr>
      </w:pPr>
      <w:r>
        <w:rPr>
          <w:noProof/>
        </w:rPr>
        <w:drawing>
          <wp:inline distT="0" distB="0" distL="0" distR="0" wp14:anchorId="399371B8" wp14:editId="0C4CD230">
            <wp:extent cx="5612130" cy="3496310"/>
            <wp:effectExtent l="0" t="0" r="13970" b="8890"/>
            <wp:docPr id="8" name="Gráfico 8">
              <a:extLst xmlns:a="http://schemas.openxmlformats.org/drawingml/2006/main">
                <a:ext uri="{FF2B5EF4-FFF2-40B4-BE49-F238E27FC236}">
                  <a16:creationId xmlns:a16="http://schemas.microsoft.com/office/drawing/2014/main" id="{2F915EB6-AF21-2442-A2B1-A366683687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948B94" w14:textId="77777777" w:rsidR="00165EEC" w:rsidRPr="00962293" w:rsidRDefault="00165EEC" w:rsidP="00165EEC">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57081182" w14:textId="77777777" w:rsidR="00165EEC" w:rsidRDefault="00165EEC" w:rsidP="00FE2EB1">
      <w:pPr>
        <w:spacing w:before="240" w:line="360" w:lineRule="auto"/>
        <w:jc w:val="both"/>
        <w:rPr>
          <w:rFonts w:ascii="Helvetica" w:hAnsi="Helvetica"/>
          <w:sz w:val="22"/>
          <w:szCs w:val="22"/>
          <w:lang w:val="es-ES"/>
        </w:rPr>
      </w:pPr>
    </w:p>
    <w:p w14:paraId="51AC44E0" w14:textId="0F7001F7" w:rsidR="002A768B" w:rsidRDefault="00216FB3"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En la condena de 57 años a un policía estatal se emitió también por </w:t>
      </w:r>
      <w:r w:rsidR="002A768B">
        <w:rPr>
          <w:rFonts w:ascii="Helvetica" w:hAnsi="Helvetica"/>
          <w:sz w:val="22"/>
          <w:szCs w:val="22"/>
          <w:lang w:val="es-ES"/>
        </w:rPr>
        <w:t>los delitos de tortura, homicidio y ocultamiento de cadáver,</w:t>
      </w:r>
      <w:r w:rsidR="009568DF">
        <w:rPr>
          <w:rFonts w:ascii="Helvetica" w:hAnsi="Helvetica"/>
          <w:sz w:val="22"/>
          <w:szCs w:val="22"/>
          <w:lang w:val="es-ES"/>
        </w:rPr>
        <w:t xml:space="preserve"> en la de 27 años a un agente federal de investigación también se cometió un delito contra la salud,</w:t>
      </w:r>
      <w:r w:rsidR="002A768B">
        <w:rPr>
          <w:rFonts w:ascii="Helvetica" w:hAnsi="Helvetica"/>
          <w:sz w:val="22"/>
          <w:szCs w:val="22"/>
          <w:lang w:val="es-ES"/>
        </w:rPr>
        <w:t xml:space="preserve"> mientras que la de 79 años en contra de un agente de la Dirección Federal de Seguridad incluye también la condena por el delito de homicidio calificado. De esta enorme variedad de penas por el delito de desaparición forzada también se sigue que las autoridades judiciales tienen ideas muy diversas sobre la importancia de los bienes jurídicos protegidos por el delito</w:t>
      </w:r>
      <w:r w:rsidR="009568DF">
        <w:rPr>
          <w:rFonts w:ascii="Helvetica" w:hAnsi="Helvetica"/>
          <w:sz w:val="22"/>
          <w:szCs w:val="22"/>
          <w:lang w:val="es-ES"/>
        </w:rPr>
        <w:t xml:space="preserve"> de desaparición forzada</w:t>
      </w:r>
      <w:r w:rsidR="002A768B">
        <w:rPr>
          <w:rFonts w:ascii="Helvetica" w:hAnsi="Helvetica"/>
          <w:sz w:val="22"/>
          <w:szCs w:val="22"/>
          <w:lang w:val="es-ES"/>
        </w:rPr>
        <w:t xml:space="preserve"> y que la función que realizan los sentenciados, por ejemplo si son militares, influye en la decisión final sobre la pena. </w:t>
      </w:r>
    </w:p>
    <w:p w14:paraId="73823EDD" w14:textId="37F1C8AC" w:rsidR="00F46E62" w:rsidRDefault="00020F1B"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Además, con la excepción de seis casos, los sentenciados fueron condenados al pago de una multa. Esta variación depende del criterio judicial y de la existencia de otros delitos cometidos en conjunto con la desaparición. En algunos casos, donde solo se cometió el delito de desaparición forzada, las autoridades no consideraron necesario imponer una </w:t>
      </w:r>
      <w:r>
        <w:rPr>
          <w:rFonts w:ascii="Helvetica" w:hAnsi="Helvetica"/>
          <w:sz w:val="22"/>
          <w:szCs w:val="22"/>
          <w:lang w:val="es-ES"/>
        </w:rPr>
        <w:lastRenderedPageBreak/>
        <w:t xml:space="preserve">multa pues el Código Penal Federal vigente al momento de emitir sentencia no requería tal sanción adicional. En otros, la autoridad judicial </w:t>
      </w:r>
      <w:r w:rsidR="00CE54FD">
        <w:rPr>
          <w:rFonts w:ascii="Helvetica" w:hAnsi="Helvetica"/>
          <w:sz w:val="22"/>
          <w:szCs w:val="22"/>
          <w:lang w:val="es-ES"/>
        </w:rPr>
        <w:t xml:space="preserve">ordenó la multa por los otros delitos cometidos, pero sin hacer una mención especial respecto del delito de desaparición. </w:t>
      </w:r>
    </w:p>
    <w:p w14:paraId="3D70CF0C" w14:textId="77777777" w:rsidR="003F4D5D" w:rsidRDefault="006F0934" w:rsidP="00FE2EB1">
      <w:pPr>
        <w:spacing w:before="240" w:line="360" w:lineRule="auto"/>
        <w:jc w:val="both"/>
        <w:rPr>
          <w:rFonts w:ascii="Helvetica" w:hAnsi="Helvetica"/>
          <w:sz w:val="22"/>
          <w:szCs w:val="22"/>
          <w:lang w:val="es-ES"/>
        </w:rPr>
      </w:pPr>
      <w:r>
        <w:rPr>
          <w:rFonts w:ascii="Helvetica" w:hAnsi="Helvetica"/>
          <w:sz w:val="22"/>
          <w:szCs w:val="22"/>
          <w:lang w:val="es-ES"/>
        </w:rPr>
        <w:t>Por lo que hace a los particulares y/o personas identificadas como miembros de grupos criminales, se encuentra lo siguiente:</w:t>
      </w:r>
    </w:p>
    <w:p w14:paraId="66B290EE" w14:textId="1848D71A" w:rsidR="006F0934" w:rsidRDefault="006F0934"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 </w:t>
      </w:r>
    </w:p>
    <w:p w14:paraId="6B6EE2FC" w14:textId="4A0B925A" w:rsidR="00DE3FE6" w:rsidRPr="003F4D5D" w:rsidRDefault="003F4D5D" w:rsidP="003F4D5D">
      <w:pPr>
        <w:pStyle w:val="Descripcin"/>
      </w:pPr>
      <w:bookmarkStart w:id="23" w:name="_Toc52293247"/>
      <w:bookmarkStart w:id="24" w:name="_Toc52293323"/>
      <w:r w:rsidRPr="003665C9">
        <w:t xml:space="preserve">Tabla </w:t>
      </w:r>
      <w:r>
        <w:t>3</w:t>
      </w:r>
      <w:r w:rsidRPr="003665C9">
        <w:t xml:space="preserve">. </w:t>
      </w:r>
      <w:r>
        <w:t>Acusados: particulares o grupo criminal</w:t>
      </w:r>
      <w:bookmarkEnd w:id="23"/>
      <w:bookmarkEnd w:id="24"/>
    </w:p>
    <w:tbl>
      <w:tblPr>
        <w:tblW w:w="43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9"/>
        <w:gridCol w:w="1330"/>
        <w:gridCol w:w="1438"/>
        <w:gridCol w:w="1312"/>
        <w:gridCol w:w="1149"/>
        <w:gridCol w:w="1121"/>
      </w:tblGrid>
      <w:tr w:rsidR="003F4D5D" w:rsidRPr="00DE3FE6" w14:paraId="6D5F6637" w14:textId="77777777" w:rsidTr="003F4D5D">
        <w:trPr>
          <w:trHeight w:val="520"/>
          <w:jc w:val="center"/>
        </w:trPr>
        <w:tc>
          <w:tcPr>
            <w:tcW w:w="866" w:type="pct"/>
            <w:shd w:val="clear" w:color="auto" w:fill="auto"/>
            <w:vAlign w:val="center"/>
            <w:hideMark/>
          </w:tcPr>
          <w:p w14:paraId="231DB097" w14:textId="77777777" w:rsidR="003F4D5D" w:rsidRPr="00DE3FE6" w:rsidRDefault="003F4D5D">
            <w:pPr>
              <w:jc w:val="center"/>
              <w:rPr>
                <w:rFonts w:ascii="Helvetica" w:hAnsi="Helvetica" w:cs="Arial"/>
                <w:b/>
                <w:bCs/>
                <w:sz w:val="18"/>
                <w:szCs w:val="18"/>
              </w:rPr>
            </w:pPr>
            <w:r w:rsidRPr="00DE3FE6">
              <w:rPr>
                <w:rFonts w:ascii="Helvetica" w:hAnsi="Helvetica" w:cs="Arial"/>
                <w:b/>
                <w:bCs/>
                <w:sz w:val="18"/>
                <w:szCs w:val="18"/>
              </w:rPr>
              <w:t>Causa penal</w:t>
            </w:r>
          </w:p>
        </w:tc>
        <w:tc>
          <w:tcPr>
            <w:tcW w:w="866" w:type="pct"/>
            <w:shd w:val="clear" w:color="auto" w:fill="auto"/>
            <w:vAlign w:val="center"/>
            <w:hideMark/>
          </w:tcPr>
          <w:p w14:paraId="450C54AA" w14:textId="77777777" w:rsidR="003F4D5D" w:rsidRPr="00DE3FE6" w:rsidRDefault="003F4D5D">
            <w:pPr>
              <w:jc w:val="center"/>
              <w:rPr>
                <w:rFonts w:ascii="Helvetica" w:hAnsi="Helvetica" w:cs="Arial"/>
                <w:b/>
                <w:bCs/>
                <w:sz w:val="18"/>
                <w:szCs w:val="18"/>
              </w:rPr>
            </w:pPr>
            <w:r w:rsidRPr="00DE3FE6">
              <w:rPr>
                <w:rFonts w:ascii="Helvetica" w:hAnsi="Helvetica" w:cs="Arial"/>
                <w:b/>
                <w:bCs/>
                <w:sz w:val="18"/>
                <w:szCs w:val="18"/>
              </w:rPr>
              <w:t>Fecha sentencia</w:t>
            </w:r>
          </w:p>
        </w:tc>
        <w:tc>
          <w:tcPr>
            <w:tcW w:w="936" w:type="pct"/>
            <w:shd w:val="clear" w:color="auto" w:fill="auto"/>
            <w:vAlign w:val="center"/>
            <w:hideMark/>
          </w:tcPr>
          <w:p w14:paraId="0518E65D" w14:textId="77777777" w:rsidR="003F4D5D" w:rsidRPr="00DE3FE6" w:rsidRDefault="003F4D5D">
            <w:pPr>
              <w:jc w:val="center"/>
              <w:rPr>
                <w:rFonts w:ascii="Helvetica" w:hAnsi="Helvetica" w:cs="Arial"/>
                <w:b/>
                <w:bCs/>
                <w:sz w:val="18"/>
                <w:szCs w:val="18"/>
              </w:rPr>
            </w:pPr>
            <w:r w:rsidRPr="00DE3FE6">
              <w:rPr>
                <w:rFonts w:ascii="Helvetica" w:hAnsi="Helvetica" w:cs="Arial"/>
                <w:b/>
                <w:bCs/>
                <w:sz w:val="18"/>
                <w:szCs w:val="18"/>
              </w:rPr>
              <w:t>Entidad de los hechos</w:t>
            </w:r>
          </w:p>
        </w:tc>
        <w:tc>
          <w:tcPr>
            <w:tcW w:w="854" w:type="pct"/>
            <w:shd w:val="clear" w:color="000000" w:fill="FFFFFF"/>
            <w:vAlign w:val="center"/>
            <w:hideMark/>
          </w:tcPr>
          <w:p w14:paraId="61D84576" w14:textId="77777777" w:rsidR="003F4D5D" w:rsidRPr="00DE3FE6" w:rsidRDefault="003F4D5D">
            <w:pPr>
              <w:jc w:val="center"/>
              <w:rPr>
                <w:rFonts w:ascii="Helvetica" w:hAnsi="Helvetica" w:cs="Arial"/>
                <w:b/>
                <w:bCs/>
                <w:sz w:val="18"/>
                <w:szCs w:val="18"/>
              </w:rPr>
            </w:pPr>
            <w:r w:rsidRPr="00DE3FE6">
              <w:rPr>
                <w:rFonts w:ascii="Helvetica" w:hAnsi="Helvetica" w:cs="Arial"/>
                <w:b/>
                <w:bCs/>
                <w:sz w:val="18"/>
                <w:szCs w:val="18"/>
              </w:rPr>
              <w:t>Tipo de perpetrador</w:t>
            </w:r>
          </w:p>
        </w:tc>
        <w:tc>
          <w:tcPr>
            <w:tcW w:w="748" w:type="pct"/>
            <w:shd w:val="clear" w:color="auto" w:fill="auto"/>
            <w:noWrap/>
            <w:vAlign w:val="center"/>
            <w:hideMark/>
          </w:tcPr>
          <w:p w14:paraId="40EDB189" w14:textId="77777777" w:rsidR="003F4D5D" w:rsidRPr="00DE3FE6" w:rsidRDefault="003F4D5D">
            <w:pPr>
              <w:jc w:val="center"/>
              <w:rPr>
                <w:rFonts w:ascii="Helvetica" w:hAnsi="Helvetica"/>
                <w:b/>
                <w:bCs/>
                <w:color w:val="000000"/>
                <w:sz w:val="18"/>
                <w:szCs w:val="18"/>
              </w:rPr>
            </w:pPr>
            <w:r w:rsidRPr="00DE3FE6">
              <w:rPr>
                <w:rFonts w:ascii="Helvetica" w:hAnsi="Helvetica"/>
                <w:b/>
                <w:bCs/>
                <w:color w:val="000000"/>
                <w:sz w:val="18"/>
                <w:szCs w:val="18"/>
              </w:rPr>
              <w:t>Sentido</w:t>
            </w:r>
          </w:p>
        </w:tc>
        <w:tc>
          <w:tcPr>
            <w:tcW w:w="730" w:type="pct"/>
            <w:shd w:val="clear" w:color="auto" w:fill="auto"/>
            <w:noWrap/>
            <w:vAlign w:val="center"/>
            <w:hideMark/>
          </w:tcPr>
          <w:p w14:paraId="79C09D4C" w14:textId="77777777" w:rsidR="003F4D5D" w:rsidRPr="00DE3FE6" w:rsidRDefault="003F4D5D">
            <w:pPr>
              <w:jc w:val="center"/>
              <w:rPr>
                <w:rFonts w:ascii="Helvetica" w:hAnsi="Helvetica"/>
                <w:b/>
                <w:bCs/>
                <w:color w:val="000000"/>
                <w:sz w:val="18"/>
                <w:szCs w:val="18"/>
              </w:rPr>
            </w:pPr>
            <w:r w:rsidRPr="00DE3FE6">
              <w:rPr>
                <w:rFonts w:ascii="Helvetica" w:hAnsi="Helvetica"/>
                <w:b/>
                <w:bCs/>
                <w:color w:val="000000"/>
                <w:sz w:val="18"/>
                <w:szCs w:val="18"/>
              </w:rPr>
              <w:t>Pena</w:t>
            </w:r>
          </w:p>
        </w:tc>
      </w:tr>
      <w:tr w:rsidR="003F4D5D" w:rsidRPr="00DE3FE6" w14:paraId="3450D3CF" w14:textId="77777777" w:rsidTr="003F4D5D">
        <w:trPr>
          <w:trHeight w:val="840"/>
          <w:jc w:val="center"/>
        </w:trPr>
        <w:tc>
          <w:tcPr>
            <w:tcW w:w="866" w:type="pct"/>
            <w:shd w:val="clear" w:color="auto" w:fill="auto"/>
            <w:vAlign w:val="center"/>
            <w:hideMark/>
          </w:tcPr>
          <w:p w14:paraId="7FE144B0"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490/2016</w:t>
            </w:r>
          </w:p>
        </w:tc>
        <w:tc>
          <w:tcPr>
            <w:tcW w:w="866" w:type="pct"/>
            <w:shd w:val="clear" w:color="auto" w:fill="auto"/>
            <w:vAlign w:val="center"/>
            <w:hideMark/>
          </w:tcPr>
          <w:p w14:paraId="001505C2"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23/06/2017</w:t>
            </w:r>
          </w:p>
        </w:tc>
        <w:tc>
          <w:tcPr>
            <w:tcW w:w="936" w:type="pct"/>
            <w:shd w:val="clear" w:color="auto" w:fill="auto"/>
            <w:vAlign w:val="center"/>
            <w:hideMark/>
          </w:tcPr>
          <w:p w14:paraId="418A93A8"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Coahuila</w:t>
            </w:r>
          </w:p>
        </w:tc>
        <w:tc>
          <w:tcPr>
            <w:tcW w:w="854" w:type="pct"/>
            <w:shd w:val="clear" w:color="D8D8D8" w:fill="FFFFFF"/>
            <w:vAlign w:val="center"/>
            <w:hideMark/>
          </w:tcPr>
          <w:p w14:paraId="0D0910E7"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Grupo criminal</w:t>
            </w:r>
          </w:p>
        </w:tc>
        <w:tc>
          <w:tcPr>
            <w:tcW w:w="748" w:type="pct"/>
            <w:shd w:val="clear" w:color="auto" w:fill="auto"/>
            <w:vAlign w:val="center"/>
            <w:hideMark/>
          </w:tcPr>
          <w:p w14:paraId="2FDA2DFC"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Condena</w:t>
            </w:r>
          </w:p>
        </w:tc>
        <w:tc>
          <w:tcPr>
            <w:tcW w:w="730" w:type="pct"/>
            <w:shd w:val="clear" w:color="auto" w:fill="auto"/>
            <w:vAlign w:val="center"/>
            <w:hideMark/>
          </w:tcPr>
          <w:p w14:paraId="6022DBA3"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75 años</w:t>
            </w:r>
          </w:p>
        </w:tc>
      </w:tr>
      <w:tr w:rsidR="003F4D5D" w:rsidRPr="00DE3FE6" w14:paraId="4B78454B" w14:textId="77777777" w:rsidTr="003F4D5D">
        <w:trPr>
          <w:trHeight w:val="320"/>
          <w:jc w:val="center"/>
        </w:trPr>
        <w:tc>
          <w:tcPr>
            <w:tcW w:w="866" w:type="pct"/>
            <w:shd w:val="clear" w:color="auto" w:fill="auto"/>
            <w:noWrap/>
            <w:vAlign w:val="center"/>
            <w:hideMark/>
          </w:tcPr>
          <w:p w14:paraId="1BDA6CA4"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504/2015C</w:t>
            </w:r>
          </w:p>
        </w:tc>
        <w:tc>
          <w:tcPr>
            <w:tcW w:w="866" w:type="pct"/>
            <w:shd w:val="clear" w:color="auto" w:fill="auto"/>
            <w:noWrap/>
            <w:vAlign w:val="center"/>
            <w:hideMark/>
          </w:tcPr>
          <w:p w14:paraId="25868B26"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11/10/17</w:t>
            </w:r>
          </w:p>
        </w:tc>
        <w:tc>
          <w:tcPr>
            <w:tcW w:w="936" w:type="pct"/>
            <w:shd w:val="clear" w:color="auto" w:fill="auto"/>
            <w:noWrap/>
            <w:vAlign w:val="center"/>
            <w:hideMark/>
          </w:tcPr>
          <w:p w14:paraId="3594F3CB"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Jalisco</w:t>
            </w:r>
          </w:p>
        </w:tc>
        <w:tc>
          <w:tcPr>
            <w:tcW w:w="854" w:type="pct"/>
            <w:shd w:val="clear" w:color="000000" w:fill="FFFFFF"/>
            <w:noWrap/>
            <w:vAlign w:val="center"/>
            <w:hideMark/>
          </w:tcPr>
          <w:p w14:paraId="38EC90C6"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Grupo criminal</w:t>
            </w:r>
          </w:p>
        </w:tc>
        <w:tc>
          <w:tcPr>
            <w:tcW w:w="748" w:type="pct"/>
            <w:shd w:val="clear" w:color="auto" w:fill="auto"/>
            <w:noWrap/>
            <w:vAlign w:val="center"/>
            <w:hideMark/>
          </w:tcPr>
          <w:p w14:paraId="667ACAFA"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NA</w:t>
            </w:r>
          </w:p>
        </w:tc>
        <w:tc>
          <w:tcPr>
            <w:tcW w:w="730" w:type="pct"/>
            <w:shd w:val="clear" w:color="auto" w:fill="auto"/>
            <w:noWrap/>
            <w:vAlign w:val="center"/>
            <w:hideMark/>
          </w:tcPr>
          <w:p w14:paraId="0FC9CADD"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NA</w:t>
            </w:r>
          </w:p>
        </w:tc>
      </w:tr>
      <w:tr w:rsidR="003F4D5D" w:rsidRPr="00DE3FE6" w14:paraId="3104E6E7" w14:textId="77777777" w:rsidTr="003F4D5D">
        <w:trPr>
          <w:trHeight w:val="320"/>
          <w:jc w:val="center"/>
        </w:trPr>
        <w:tc>
          <w:tcPr>
            <w:tcW w:w="866" w:type="pct"/>
            <w:shd w:val="clear" w:color="auto" w:fill="auto"/>
            <w:vAlign w:val="center"/>
            <w:hideMark/>
          </w:tcPr>
          <w:p w14:paraId="6007333F"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301/2016C</w:t>
            </w:r>
          </w:p>
        </w:tc>
        <w:tc>
          <w:tcPr>
            <w:tcW w:w="866" w:type="pct"/>
            <w:shd w:val="clear" w:color="auto" w:fill="auto"/>
            <w:vAlign w:val="center"/>
            <w:hideMark/>
          </w:tcPr>
          <w:p w14:paraId="0F45F266"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07/11/18</w:t>
            </w:r>
          </w:p>
        </w:tc>
        <w:tc>
          <w:tcPr>
            <w:tcW w:w="936" w:type="pct"/>
            <w:shd w:val="clear" w:color="auto" w:fill="auto"/>
            <w:vAlign w:val="center"/>
            <w:hideMark/>
          </w:tcPr>
          <w:p w14:paraId="0970E5DC"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Jalisco</w:t>
            </w:r>
          </w:p>
        </w:tc>
        <w:tc>
          <w:tcPr>
            <w:tcW w:w="854" w:type="pct"/>
            <w:shd w:val="clear" w:color="D8D8D8" w:fill="FFFFFF"/>
            <w:vAlign w:val="center"/>
            <w:hideMark/>
          </w:tcPr>
          <w:p w14:paraId="60AA3CA3"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Particular</w:t>
            </w:r>
          </w:p>
        </w:tc>
        <w:tc>
          <w:tcPr>
            <w:tcW w:w="748" w:type="pct"/>
            <w:shd w:val="clear" w:color="auto" w:fill="auto"/>
            <w:vAlign w:val="center"/>
            <w:hideMark/>
          </w:tcPr>
          <w:p w14:paraId="7DE52A6E" w14:textId="77777777" w:rsidR="003F4D5D" w:rsidRPr="00DE3FE6" w:rsidRDefault="003F4D5D">
            <w:pPr>
              <w:jc w:val="center"/>
              <w:rPr>
                <w:rFonts w:ascii="Helvetica" w:hAnsi="Helvetica" w:cs="Arial"/>
                <w:color w:val="000000"/>
                <w:sz w:val="18"/>
                <w:szCs w:val="18"/>
              </w:rPr>
            </w:pPr>
            <w:r w:rsidRPr="00DE3FE6">
              <w:rPr>
                <w:rFonts w:ascii="Helvetica" w:hAnsi="Helvetica" w:cs="Arial"/>
                <w:color w:val="000000"/>
                <w:sz w:val="18"/>
                <w:szCs w:val="18"/>
              </w:rPr>
              <w:t>Absuelto</w:t>
            </w:r>
          </w:p>
        </w:tc>
        <w:tc>
          <w:tcPr>
            <w:tcW w:w="730" w:type="pct"/>
            <w:shd w:val="clear" w:color="auto" w:fill="auto"/>
            <w:vAlign w:val="center"/>
            <w:hideMark/>
          </w:tcPr>
          <w:p w14:paraId="5B99A968" w14:textId="77777777" w:rsidR="003F4D5D" w:rsidRPr="00DE3FE6" w:rsidRDefault="003F4D5D">
            <w:pPr>
              <w:jc w:val="center"/>
              <w:rPr>
                <w:rFonts w:ascii="Helvetica" w:hAnsi="Helvetica" w:cs="Arial"/>
                <w:color w:val="000000"/>
                <w:sz w:val="18"/>
                <w:szCs w:val="18"/>
              </w:rPr>
            </w:pPr>
            <w:r>
              <w:rPr>
                <w:rFonts w:ascii="Helvetica" w:hAnsi="Helvetica" w:cs="Arial"/>
                <w:color w:val="000000"/>
                <w:sz w:val="18"/>
                <w:szCs w:val="18"/>
              </w:rPr>
              <w:t>NA</w:t>
            </w:r>
          </w:p>
        </w:tc>
      </w:tr>
      <w:tr w:rsidR="003F4D5D" w:rsidRPr="00DE3FE6" w14:paraId="3A4CAB17" w14:textId="77777777" w:rsidTr="003F4D5D">
        <w:trPr>
          <w:trHeight w:val="320"/>
          <w:jc w:val="center"/>
        </w:trPr>
        <w:tc>
          <w:tcPr>
            <w:tcW w:w="866" w:type="pct"/>
            <w:shd w:val="clear" w:color="auto" w:fill="auto"/>
            <w:noWrap/>
            <w:vAlign w:val="center"/>
            <w:hideMark/>
          </w:tcPr>
          <w:p w14:paraId="241B09E1"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76/2018</w:t>
            </w:r>
          </w:p>
        </w:tc>
        <w:tc>
          <w:tcPr>
            <w:tcW w:w="866" w:type="pct"/>
            <w:shd w:val="clear" w:color="auto" w:fill="auto"/>
            <w:noWrap/>
            <w:vAlign w:val="center"/>
            <w:hideMark/>
          </w:tcPr>
          <w:p w14:paraId="3C56CE09"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15/11/19</w:t>
            </w:r>
          </w:p>
        </w:tc>
        <w:tc>
          <w:tcPr>
            <w:tcW w:w="936" w:type="pct"/>
            <w:shd w:val="clear" w:color="auto" w:fill="auto"/>
            <w:noWrap/>
            <w:vAlign w:val="center"/>
            <w:hideMark/>
          </w:tcPr>
          <w:p w14:paraId="692B0C2E"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Chihuahua</w:t>
            </w:r>
          </w:p>
        </w:tc>
        <w:tc>
          <w:tcPr>
            <w:tcW w:w="854" w:type="pct"/>
            <w:shd w:val="clear" w:color="000000" w:fill="FFFFFF"/>
            <w:noWrap/>
            <w:vAlign w:val="center"/>
            <w:hideMark/>
          </w:tcPr>
          <w:p w14:paraId="2F835560"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Particular</w:t>
            </w:r>
          </w:p>
        </w:tc>
        <w:tc>
          <w:tcPr>
            <w:tcW w:w="748" w:type="pct"/>
            <w:shd w:val="clear" w:color="auto" w:fill="auto"/>
            <w:noWrap/>
            <w:vAlign w:val="center"/>
            <w:hideMark/>
          </w:tcPr>
          <w:p w14:paraId="5C6F2176"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Condena</w:t>
            </w:r>
          </w:p>
        </w:tc>
        <w:tc>
          <w:tcPr>
            <w:tcW w:w="730" w:type="pct"/>
            <w:shd w:val="clear" w:color="auto" w:fill="auto"/>
            <w:noWrap/>
            <w:vAlign w:val="center"/>
            <w:hideMark/>
          </w:tcPr>
          <w:p w14:paraId="2E6380B0"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25 años</w:t>
            </w:r>
          </w:p>
        </w:tc>
      </w:tr>
      <w:tr w:rsidR="003F4D5D" w:rsidRPr="00DE3FE6" w14:paraId="5D1A9233" w14:textId="77777777" w:rsidTr="003F4D5D">
        <w:trPr>
          <w:trHeight w:val="840"/>
          <w:jc w:val="center"/>
        </w:trPr>
        <w:tc>
          <w:tcPr>
            <w:tcW w:w="866" w:type="pct"/>
            <w:shd w:val="clear" w:color="auto" w:fill="auto"/>
            <w:vAlign w:val="center"/>
            <w:hideMark/>
          </w:tcPr>
          <w:p w14:paraId="2A4C7250"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110/2018</w:t>
            </w:r>
          </w:p>
        </w:tc>
        <w:tc>
          <w:tcPr>
            <w:tcW w:w="866" w:type="pct"/>
            <w:shd w:val="clear" w:color="auto" w:fill="auto"/>
            <w:vAlign w:val="center"/>
            <w:hideMark/>
          </w:tcPr>
          <w:p w14:paraId="51CA428D"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4/12/2019</w:t>
            </w:r>
          </w:p>
        </w:tc>
        <w:tc>
          <w:tcPr>
            <w:tcW w:w="936" w:type="pct"/>
            <w:shd w:val="clear" w:color="auto" w:fill="auto"/>
            <w:vAlign w:val="center"/>
            <w:hideMark/>
          </w:tcPr>
          <w:p w14:paraId="5767ECBE"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Veracruz</w:t>
            </w:r>
          </w:p>
        </w:tc>
        <w:tc>
          <w:tcPr>
            <w:tcW w:w="854" w:type="pct"/>
            <w:shd w:val="clear" w:color="D8D8D8" w:fill="FFFFFF"/>
            <w:vAlign w:val="center"/>
            <w:hideMark/>
          </w:tcPr>
          <w:p w14:paraId="0CC8DC93"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Grupo criminal</w:t>
            </w:r>
          </w:p>
        </w:tc>
        <w:tc>
          <w:tcPr>
            <w:tcW w:w="748" w:type="pct"/>
            <w:shd w:val="clear" w:color="auto" w:fill="auto"/>
            <w:vAlign w:val="center"/>
            <w:hideMark/>
          </w:tcPr>
          <w:p w14:paraId="10C2BE69"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Condena</w:t>
            </w:r>
          </w:p>
        </w:tc>
        <w:tc>
          <w:tcPr>
            <w:tcW w:w="730" w:type="pct"/>
            <w:shd w:val="clear" w:color="auto" w:fill="auto"/>
            <w:vAlign w:val="center"/>
            <w:hideMark/>
          </w:tcPr>
          <w:p w14:paraId="1A0F6ECE"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4 meses</w:t>
            </w:r>
          </w:p>
        </w:tc>
      </w:tr>
      <w:tr w:rsidR="003F4D5D" w:rsidRPr="00DE3FE6" w14:paraId="5F014FD4" w14:textId="77777777" w:rsidTr="003F4D5D">
        <w:trPr>
          <w:trHeight w:val="320"/>
          <w:jc w:val="center"/>
        </w:trPr>
        <w:tc>
          <w:tcPr>
            <w:tcW w:w="866" w:type="pct"/>
            <w:shd w:val="clear" w:color="auto" w:fill="auto"/>
            <w:noWrap/>
            <w:vAlign w:val="center"/>
            <w:hideMark/>
          </w:tcPr>
          <w:p w14:paraId="5F67A5A9"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ND</w:t>
            </w:r>
          </w:p>
        </w:tc>
        <w:tc>
          <w:tcPr>
            <w:tcW w:w="866" w:type="pct"/>
            <w:shd w:val="clear" w:color="auto" w:fill="auto"/>
            <w:noWrap/>
            <w:vAlign w:val="center"/>
            <w:hideMark/>
          </w:tcPr>
          <w:p w14:paraId="264B3D41"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ND</w:t>
            </w:r>
          </w:p>
        </w:tc>
        <w:tc>
          <w:tcPr>
            <w:tcW w:w="936" w:type="pct"/>
            <w:shd w:val="clear" w:color="auto" w:fill="auto"/>
            <w:noWrap/>
            <w:vAlign w:val="center"/>
            <w:hideMark/>
          </w:tcPr>
          <w:p w14:paraId="2F79BFEE"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Jalisco</w:t>
            </w:r>
          </w:p>
        </w:tc>
        <w:tc>
          <w:tcPr>
            <w:tcW w:w="854" w:type="pct"/>
            <w:shd w:val="clear" w:color="000000" w:fill="FFFFFF"/>
            <w:noWrap/>
            <w:vAlign w:val="center"/>
            <w:hideMark/>
          </w:tcPr>
          <w:p w14:paraId="562166B7"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Particular</w:t>
            </w:r>
          </w:p>
        </w:tc>
        <w:tc>
          <w:tcPr>
            <w:tcW w:w="748" w:type="pct"/>
            <w:shd w:val="clear" w:color="auto" w:fill="auto"/>
            <w:noWrap/>
            <w:vAlign w:val="center"/>
            <w:hideMark/>
          </w:tcPr>
          <w:p w14:paraId="5A6E6C98"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NA</w:t>
            </w:r>
          </w:p>
        </w:tc>
        <w:tc>
          <w:tcPr>
            <w:tcW w:w="730" w:type="pct"/>
            <w:shd w:val="clear" w:color="auto" w:fill="auto"/>
            <w:noWrap/>
            <w:vAlign w:val="center"/>
            <w:hideMark/>
          </w:tcPr>
          <w:p w14:paraId="5948F58F" w14:textId="77777777" w:rsidR="003F4D5D" w:rsidRPr="00DE3FE6" w:rsidRDefault="003F4D5D">
            <w:pPr>
              <w:jc w:val="center"/>
              <w:rPr>
                <w:rFonts w:ascii="Helvetica" w:hAnsi="Helvetica" w:cs="Arial"/>
                <w:sz w:val="18"/>
                <w:szCs w:val="18"/>
              </w:rPr>
            </w:pPr>
            <w:r w:rsidRPr="00DE3FE6">
              <w:rPr>
                <w:rFonts w:ascii="Helvetica" w:hAnsi="Helvetica" w:cs="Arial"/>
                <w:sz w:val="18"/>
                <w:szCs w:val="18"/>
              </w:rPr>
              <w:t>NA</w:t>
            </w:r>
          </w:p>
        </w:tc>
      </w:tr>
    </w:tbl>
    <w:p w14:paraId="506072E6" w14:textId="77777777" w:rsidR="00A95C0C" w:rsidRPr="00962293" w:rsidRDefault="00A95C0C" w:rsidP="00A95C0C">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1F24B733" w14:textId="6C0DC0A9" w:rsidR="00FD5A8D" w:rsidRDefault="00010D02"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Dentro de estas sentencias, hay dos de segunda instancia donde no se analizó la responsabilidad de los imputados, sino cuestiones vinculadas con el proceso. </w:t>
      </w:r>
      <w:r w:rsidR="00AD3766">
        <w:rPr>
          <w:rFonts w:ascii="Helvetica" w:hAnsi="Helvetica"/>
          <w:sz w:val="22"/>
          <w:szCs w:val="22"/>
          <w:lang w:val="es-ES"/>
        </w:rPr>
        <w:t xml:space="preserve">Se trata de asuntos relativamente más recientes y </w:t>
      </w:r>
      <w:r w:rsidR="00B76EC7">
        <w:rPr>
          <w:rFonts w:ascii="Helvetica" w:hAnsi="Helvetica"/>
          <w:sz w:val="22"/>
          <w:szCs w:val="22"/>
          <w:lang w:val="es-ES"/>
        </w:rPr>
        <w:t xml:space="preserve">también con problemas en la proporcionalidad de la pena. Solo en dos casos (Coahuila y Veracruz) se impuso adicionalmente una multa. </w:t>
      </w:r>
    </w:p>
    <w:p w14:paraId="66A503B6" w14:textId="6CE9FA73" w:rsidR="00216FB3" w:rsidRDefault="00E03A68" w:rsidP="00FE2EB1">
      <w:pPr>
        <w:spacing w:before="240" w:line="360" w:lineRule="auto"/>
        <w:jc w:val="both"/>
        <w:rPr>
          <w:rFonts w:ascii="Helvetica" w:hAnsi="Helvetica"/>
          <w:sz w:val="22"/>
          <w:szCs w:val="22"/>
          <w:lang w:val="es-ES"/>
        </w:rPr>
      </w:pPr>
      <w:r>
        <w:rPr>
          <w:rFonts w:ascii="Helvetica" w:hAnsi="Helvetica"/>
          <w:sz w:val="22"/>
          <w:szCs w:val="22"/>
          <w:lang w:val="es-ES"/>
        </w:rPr>
        <w:t>Las sentencias casi nada nos dicen sobre las personas que son desaparecidas, lo que influye en la construcción de la verdad</w:t>
      </w:r>
      <w:r w:rsidR="00474F9F">
        <w:rPr>
          <w:rFonts w:ascii="Helvetica" w:hAnsi="Helvetica"/>
          <w:sz w:val="22"/>
          <w:szCs w:val="22"/>
          <w:lang w:val="es-ES"/>
        </w:rPr>
        <w:t>,</w:t>
      </w:r>
      <w:r w:rsidR="005C756D">
        <w:rPr>
          <w:rFonts w:ascii="Helvetica" w:hAnsi="Helvetica"/>
          <w:sz w:val="22"/>
          <w:szCs w:val="22"/>
          <w:lang w:val="es-ES"/>
        </w:rPr>
        <w:t xml:space="preserve"> en tanto no es posible identificar qué sectores poblaciones o grupos en situación de vulnerabilidad son los más afectados por el problema de la desaparición en el país. </w:t>
      </w:r>
      <w:r w:rsidR="00CA47A4">
        <w:rPr>
          <w:rFonts w:ascii="Helvetica" w:hAnsi="Helvetica"/>
          <w:sz w:val="22"/>
          <w:szCs w:val="22"/>
          <w:lang w:val="es-ES"/>
        </w:rPr>
        <w:t>Respecto de los perpetrador</w:t>
      </w:r>
      <w:r w:rsidR="00274642">
        <w:rPr>
          <w:rFonts w:ascii="Helvetica" w:hAnsi="Helvetica"/>
          <w:sz w:val="22"/>
          <w:szCs w:val="22"/>
          <w:lang w:val="es-ES"/>
        </w:rPr>
        <w:t xml:space="preserve">es las sentencias son heterogéneas en tanto </w:t>
      </w:r>
      <w:r w:rsidR="003F4D5D">
        <w:rPr>
          <w:rFonts w:ascii="Helvetica" w:hAnsi="Helvetica"/>
          <w:sz w:val="22"/>
          <w:szCs w:val="22"/>
          <w:lang w:val="es-ES"/>
        </w:rPr>
        <w:t>e</w:t>
      </w:r>
      <w:r w:rsidR="00274642">
        <w:rPr>
          <w:rFonts w:ascii="Helvetica" w:hAnsi="Helvetica"/>
          <w:sz w:val="22"/>
          <w:szCs w:val="22"/>
          <w:lang w:val="es-ES"/>
        </w:rPr>
        <w:t xml:space="preserve">l riesgo </w:t>
      </w:r>
      <w:r w:rsidR="00A92528">
        <w:rPr>
          <w:rFonts w:ascii="Helvetica" w:hAnsi="Helvetica"/>
          <w:sz w:val="22"/>
          <w:szCs w:val="22"/>
          <w:lang w:val="es-ES"/>
        </w:rPr>
        <w:t xml:space="preserve">de </w:t>
      </w:r>
      <w:r w:rsidR="00274642">
        <w:rPr>
          <w:rFonts w:ascii="Helvetica" w:hAnsi="Helvetica"/>
          <w:sz w:val="22"/>
          <w:szCs w:val="22"/>
          <w:lang w:val="es-ES"/>
        </w:rPr>
        <w:t>sufrir una desaparición se presenta igual frente a un policía municipal que frente a un militar.</w:t>
      </w:r>
      <w:r w:rsidR="003F4D5D">
        <w:rPr>
          <w:rFonts w:ascii="Helvetica" w:hAnsi="Helvetica"/>
          <w:sz w:val="22"/>
          <w:szCs w:val="22"/>
          <w:lang w:val="es-ES"/>
        </w:rPr>
        <w:t xml:space="preserve"> Sin embargo, hay más casos en contra de militares y agentes federales de investigación. Por lo que hace a los acusados particulares o integrantes de un grupo criminal, las sentencias prácticamente no aportan información</w:t>
      </w:r>
      <w:r w:rsidR="00474F9F">
        <w:rPr>
          <w:rFonts w:ascii="Helvetica" w:hAnsi="Helvetica"/>
          <w:sz w:val="22"/>
          <w:szCs w:val="22"/>
          <w:lang w:val="es-ES"/>
        </w:rPr>
        <w:t xml:space="preserve"> lo </w:t>
      </w:r>
      <w:r w:rsidR="00474F9F">
        <w:rPr>
          <w:rFonts w:ascii="Helvetica" w:hAnsi="Helvetica"/>
          <w:sz w:val="22"/>
          <w:szCs w:val="22"/>
          <w:lang w:val="es-ES"/>
        </w:rPr>
        <w:lastRenderedPageBreak/>
        <w:t>que también influye en que no se conozca qué grupos son los que llevan a cabo este delito de desaparición forzada</w:t>
      </w:r>
      <w:r w:rsidR="003F4D5D">
        <w:rPr>
          <w:rFonts w:ascii="Helvetica" w:hAnsi="Helvetica"/>
          <w:sz w:val="22"/>
          <w:szCs w:val="22"/>
          <w:lang w:val="es-ES"/>
        </w:rPr>
        <w:t xml:space="preserve">.  </w:t>
      </w:r>
    </w:p>
    <w:p w14:paraId="78266345" w14:textId="3A572A56" w:rsidR="00474F9F" w:rsidRDefault="00474F9F"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Por lo que hace a la justicia, la rendición de cuentas de los perpetradores es parcial. Si bien las sentencias acreditan la responsabilidad de los perpetradores, la enorme diversidad de las condenas no deja constancia de la importancia de la protección de los derechos violados con la desaparición de personas (vida, integridad, libertad, personalidad jurídica). </w:t>
      </w:r>
      <w:r w:rsidR="001235F5">
        <w:rPr>
          <w:rFonts w:ascii="Helvetica" w:hAnsi="Helvetica"/>
          <w:sz w:val="22"/>
          <w:szCs w:val="22"/>
          <w:lang w:val="es-ES"/>
        </w:rPr>
        <w:t xml:space="preserve">El objetivo no es imponer una condena numerosa, sino reconocer la importancia de la conducta cometida. </w:t>
      </w:r>
    </w:p>
    <w:p w14:paraId="16D604E0" w14:textId="77777777" w:rsidR="00E158C5" w:rsidRDefault="001235F5" w:rsidP="00FE2EB1">
      <w:pPr>
        <w:spacing w:before="240" w:line="360" w:lineRule="auto"/>
        <w:jc w:val="both"/>
        <w:rPr>
          <w:rFonts w:ascii="Helvetica" w:hAnsi="Helvetica"/>
          <w:sz w:val="22"/>
          <w:szCs w:val="22"/>
          <w:lang w:val="es-ES"/>
        </w:rPr>
      </w:pPr>
      <w:r>
        <w:rPr>
          <w:rFonts w:ascii="Helvetica" w:hAnsi="Helvetica"/>
          <w:sz w:val="22"/>
          <w:szCs w:val="22"/>
          <w:lang w:val="es-ES"/>
        </w:rPr>
        <w:t>Estos datos generales también muestran la acción tanto de la justicia federal como local en torno a la desaparición. Aunque la desaparición es un problema presente en todo el país, las sentencias apenas reflejan a un tercio del territorio</w:t>
      </w:r>
      <w:r w:rsidR="00F75607">
        <w:rPr>
          <w:rFonts w:ascii="Helvetica" w:hAnsi="Helvetica"/>
          <w:sz w:val="22"/>
          <w:szCs w:val="22"/>
          <w:lang w:val="es-ES"/>
        </w:rPr>
        <w:t xml:space="preserve">, lo que hace difícil caracterizar los distintos mecanismos de desaparición y violencia a lo largo de la República. </w:t>
      </w:r>
      <w:r w:rsidR="000C6EA2">
        <w:rPr>
          <w:rFonts w:ascii="Helvetica" w:hAnsi="Helvetica"/>
          <w:sz w:val="22"/>
          <w:szCs w:val="22"/>
          <w:lang w:val="es-ES"/>
        </w:rPr>
        <w:t xml:space="preserve">Esto es aún más preocupante tratándose de la justicia federal que se activa en las mismas entidades donde también hay movimiento en la justicia local, pero nos dice poco o nada sobre el resto del país. </w:t>
      </w:r>
    </w:p>
    <w:p w14:paraId="3D000A52" w14:textId="66AE7D72" w:rsidR="001235F5" w:rsidRDefault="000C6EA2"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Relacionado con esto, las sentencias locales también nos informan sobre la heterogeneidad de los </w:t>
      </w:r>
      <w:r w:rsidR="00E158C5">
        <w:rPr>
          <w:rFonts w:ascii="Helvetica" w:hAnsi="Helvetica"/>
          <w:sz w:val="22"/>
          <w:szCs w:val="22"/>
          <w:lang w:val="es-ES"/>
        </w:rPr>
        <w:t xml:space="preserve">sistemas de justicia del país, así como de la acción en torno a la rendición de cuentas de los perpetradores. </w:t>
      </w:r>
      <w:r>
        <w:rPr>
          <w:rFonts w:ascii="Helvetica" w:hAnsi="Helvetica"/>
          <w:sz w:val="22"/>
          <w:szCs w:val="22"/>
          <w:lang w:val="es-ES"/>
        </w:rPr>
        <w:t>Mientras algunos, como el de Coahuila,</w:t>
      </w:r>
      <w:r w:rsidR="00E158C5">
        <w:rPr>
          <w:rFonts w:ascii="Helvetica" w:hAnsi="Helvetica"/>
          <w:sz w:val="22"/>
          <w:szCs w:val="22"/>
          <w:lang w:val="es-ES"/>
        </w:rPr>
        <w:t xml:space="preserve"> </w:t>
      </w:r>
      <w:r w:rsidR="004B537B">
        <w:rPr>
          <w:rFonts w:ascii="Helvetica" w:hAnsi="Helvetica"/>
          <w:sz w:val="22"/>
          <w:szCs w:val="22"/>
          <w:lang w:val="es-ES"/>
        </w:rPr>
        <w:t xml:space="preserve">han tenido una mayor </w:t>
      </w:r>
      <w:proofErr w:type="spellStart"/>
      <w:r w:rsidR="004B537B">
        <w:rPr>
          <w:rFonts w:ascii="Helvetica" w:hAnsi="Helvetica"/>
          <w:sz w:val="22"/>
          <w:szCs w:val="22"/>
          <w:lang w:val="es-ES"/>
        </w:rPr>
        <w:t>litigiosidad</w:t>
      </w:r>
      <w:proofErr w:type="spellEnd"/>
      <w:r w:rsidR="004B537B">
        <w:rPr>
          <w:rFonts w:ascii="Helvetica" w:hAnsi="Helvetica"/>
          <w:sz w:val="22"/>
          <w:szCs w:val="22"/>
          <w:lang w:val="es-ES"/>
        </w:rPr>
        <w:t xml:space="preserve"> en torno al tema, </w:t>
      </w:r>
      <w:r w:rsidR="00B20E46">
        <w:rPr>
          <w:rFonts w:ascii="Helvetica" w:hAnsi="Helvetica"/>
          <w:sz w:val="22"/>
          <w:szCs w:val="22"/>
          <w:lang w:val="es-ES"/>
        </w:rPr>
        <w:t xml:space="preserve">la enorme mayoría no ha logrado judicializar casos por el delito de desaparición. Esto también puede implicar una diversidad de criterios interpretativos y de políticas criminales a lo largo del país que termina por incidir en la obtención de justicia. </w:t>
      </w:r>
    </w:p>
    <w:p w14:paraId="1129FE81" w14:textId="5DBF5AD2" w:rsidR="001235F5" w:rsidRDefault="001235F5"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La justica no es necesariamente pronta, pero las sentencias analizadas tardan aproximadamente 4.2 </w:t>
      </w:r>
      <w:r w:rsidR="00A92528">
        <w:rPr>
          <w:rFonts w:ascii="Helvetica" w:hAnsi="Helvetica"/>
          <w:sz w:val="22"/>
          <w:szCs w:val="22"/>
          <w:lang w:val="es-ES"/>
        </w:rPr>
        <w:t xml:space="preserve">años </w:t>
      </w:r>
      <w:r>
        <w:rPr>
          <w:rFonts w:ascii="Helvetica" w:hAnsi="Helvetica"/>
          <w:sz w:val="22"/>
          <w:szCs w:val="22"/>
          <w:lang w:val="es-ES"/>
        </w:rPr>
        <w:t>en ser emitidas. Es difícil afirmar si esto es poco o mucho tiempo porque depende de una variedad de factores relacionados con la investigación de los hechos y que podrán valorarse mejor en la siguiente sección a partir de lo que efectivamente cuentan las sentencias sobre la desaparición de personas.</w:t>
      </w:r>
    </w:p>
    <w:p w14:paraId="11F9164D" w14:textId="77777777" w:rsidR="00F46E62" w:rsidRPr="00F46E62" w:rsidRDefault="00F46E62" w:rsidP="000E00CA">
      <w:pPr>
        <w:pStyle w:val="Ttulo1"/>
      </w:pPr>
      <w:bookmarkStart w:id="25" w:name="_Toc52293196"/>
      <w:commentRangeStart w:id="26"/>
      <w:r w:rsidRPr="00F46E62">
        <w:t>4. Los hechos y la aproximación a los casos</w:t>
      </w:r>
      <w:bookmarkEnd w:id="25"/>
      <w:commentRangeEnd w:id="26"/>
      <w:r w:rsidR="00317D32">
        <w:rPr>
          <w:rStyle w:val="Refdecomentario"/>
          <w:rFonts w:ascii="Times New Roman" w:hAnsi="Times New Roman"/>
          <w:b w:val="0"/>
          <w:bCs w:val="0"/>
          <w:lang w:val="es-MX"/>
        </w:rPr>
        <w:commentReference w:id="26"/>
      </w:r>
    </w:p>
    <w:p w14:paraId="1BD94138" w14:textId="1D5BCDAA" w:rsidR="00846BA2" w:rsidRDefault="00846BA2" w:rsidP="00846BA2">
      <w:pPr>
        <w:spacing w:before="240" w:line="360" w:lineRule="auto"/>
        <w:jc w:val="both"/>
        <w:rPr>
          <w:rFonts w:ascii="Helvetica" w:hAnsi="Helvetica"/>
          <w:sz w:val="22"/>
          <w:szCs w:val="22"/>
          <w:lang w:val="es-ES"/>
        </w:rPr>
      </w:pPr>
      <w:r>
        <w:rPr>
          <w:rFonts w:ascii="Helvetica" w:hAnsi="Helvetica"/>
          <w:sz w:val="22"/>
          <w:szCs w:val="22"/>
          <w:lang w:val="es-ES"/>
        </w:rPr>
        <w:t xml:space="preserve">El análisis de las sentencias muestra que el delito de desaparición forzada ha sido utilizado para sancionar conductas de muy distinta naturaleza y que, en su conjunto, aportan algunas </w:t>
      </w:r>
      <w:r>
        <w:rPr>
          <w:rFonts w:ascii="Helvetica" w:hAnsi="Helvetica"/>
          <w:sz w:val="22"/>
          <w:szCs w:val="22"/>
          <w:lang w:val="es-ES"/>
        </w:rPr>
        <w:lastRenderedPageBreak/>
        <w:t>piezas el fenómeno de la desaparición de personas en México, pero sin dejar ver su dinámica, causas y consecuencias. En términos del derecho de acceso a la justicia, las sentencias aportan poco para construir verdad</w:t>
      </w:r>
      <w:r w:rsidR="00BC1104">
        <w:rPr>
          <w:rFonts w:ascii="Helvetica" w:hAnsi="Helvetica"/>
          <w:sz w:val="22"/>
          <w:szCs w:val="22"/>
          <w:lang w:val="es-ES"/>
        </w:rPr>
        <w:t xml:space="preserve"> y</w:t>
      </w:r>
      <w:r>
        <w:rPr>
          <w:rFonts w:ascii="Helvetica" w:hAnsi="Helvetica"/>
          <w:sz w:val="22"/>
          <w:szCs w:val="22"/>
          <w:lang w:val="es-ES"/>
        </w:rPr>
        <w:t xml:space="preserve"> justicia para las víctimas de desaparición y sus familias. Se trata de versiones incompletas que, en muchos casos, dejan ver una mayor complejidad detrás de la desaparición de la persona pero que finalmente no es abordada. </w:t>
      </w:r>
    </w:p>
    <w:p w14:paraId="2C5C9022" w14:textId="65EDB6DE" w:rsidR="00D45245" w:rsidRDefault="00A832BB" w:rsidP="00846BA2">
      <w:pPr>
        <w:spacing w:before="240" w:line="360" w:lineRule="auto"/>
        <w:jc w:val="both"/>
        <w:rPr>
          <w:rFonts w:ascii="Helvetica" w:hAnsi="Helvetica"/>
          <w:sz w:val="22"/>
          <w:szCs w:val="22"/>
          <w:lang w:val="es-ES"/>
        </w:rPr>
      </w:pPr>
      <w:r>
        <w:rPr>
          <w:rFonts w:ascii="Helvetica" w:hAnsi="Helvetica"/>
          <w:sz w:val="22"/>
          <w:szCs w:val="22"/>
          <w:lang w:val="es-ES"/>
        </w:rPr>
        <w:t xml:space="preserve">Los observables seleccionados para analizar en las sentencias a partir de las obligaciones que conlleva el derecho de acceso a la justicia nos hablan de la desaparición como un fenómeno aislado, que no encuentra relación con los problemas de violencia presentes en el país en los últimos 15 años. </w:t>
      </w:r>
      <w:r w:rsidR="00250B30">
        <w:rPr>
          <w:rFonts w:ascii="Helvetica" w:hAnsi="Helvetica"/>
          <w:sz w:val="22"/>
          <w:szCs w:val="22"/>
          <w:lang w:val="es-ES"/>
        </w:rPr>
        <w:t xml:space="preserve">En términos generales, las sentencias no aportan verdad. Están construidos desde una lógica individual donde solo importa el hecho de desaparición aislada y los perpetradores materiales. </w:t>
      </w:r>
    </w:p>
    <w:p w14:paraId="2E51B496" w14:textId="0D7CBD4A" w:rsidR="00EF6145" w:rsidRDefault="00EF6145" w:rsidP="00AB1BE4">
      <w:pPr>
        <w:spacing w:before="240" w:line="360" w:lineRule="auto"/>
        <w:jc w:val="both"/>
        <w:rPr>
          <w:rFonts w:ascii="Helvetica" w:hAnsi="Helvetica"/>
          <w:sz w:val="22"/>
          <w:szCs w:val="22"/>
          <w:lang w:val="es-ES"/>
        </w:rPr>
      </w:pPr>
      <w:r>
        <w:rPr>
          <w:rFonts w:ascii="Helvetica" w:hAnsi="Helvetica"/>
          <w:sz w:val="22"/>
          <w:szCs w:val="22"/>
          <w:lang w:val="es-ES"/>
        </w:rPr>
        <w:t xml:space="preserve">La investigación de los hechos que se refleja en las sentencias no interioriza las características del delito de desaparición como un delito complejo. </w:t>
      </w:r>
      <w:r w:rsidR="00AB36D7">
        <w:rPr>
          <w:rFonts w:ascii="Helvetica" w:hAnsi="Helvetica"/>
          <w:sz w:val="22"/>
          <w:szCs w:val="22"/>
          <w:lang w:val="es-ES"/>
        </w:rPr>
        <w:t>En el conjunto de sentencias la desaparición se mira y analiza</w:t>
      </w:r>
      <w:r w:rsidR="00AB1BE4">
        <w:rPr>
          <w:rFonts w:ascii="Helvetica" w:hAnsi="Helvetica"/>
          <w:sz w:val="22"/>
          <w:szCs w:val="22"/>
          <w:lang w:val="es-ES"/>
        </w:rPr>
        <w:t xml:space="preserve"> a la desaparición</w:t>
      </w:r>
      <w:r w:rsidR="00AB36D7">
        <w:rPr>
          <w:rFonts w:ascii="Helvetica" w:hAnsi="Helvetica"/>
          <w:sz w:val="22"/>
          <w:szCs w:val="22"/>
          <w:lang w:val="es-ES"/>
        </w:rPr>
        <w:t xml:space="preserve"> como un hecho aislado, no vinculado ni con otros casos ni con un fenómeno más amplio de desapariciones en la región y/o con un</w:t>
      </w:r>
      <w:r w:rsidR="00C64BD7">
        <w:rPr>
          <w:rFonts w:ascii="Helvetica" w:hAnsi="Helvetica"/>
          <w:sz w:val="22"/>
          <w:szCs w:val="22"/>
          <w:lang w:val="es-ES"/>
        </w:rPr>
        <w:t xml:space="preserve"> contexto de violencia a lo largo del país. </w:t>
      </w:r>
      <w:r>
        <w:rPr>
          <w:rFonts w:ascii="Helvetica" w:hAnsi="Helvetica"/>
          <w:sz w:val="22"/>
          <w:szCs w:val="22"/>
          <w:lang w:val="es-ES"/>
        </w:rPr>
        <w:t>Es decir, no hay uso del análisis de contexto ni como método ni como presupuesto</w:t>
      </w:r>
      <w:r w:rsidR="00AB1BE4">
        <w:rPr>
          <w:rFonts w:ascii="Helvetica" w:hAnsi="Helvetica"/>
          <w:sz w:val="22"/>
          <w:szCs w:val="22"/>
          <w:lang w:val="es-ES"/>
        </w:rPr>
        <w:t xml:space="preserve"> situacional</w:t>
      </w:r>
      <w:r>
        <w:rPr>
          <w:rFonts w:ascii="Helvetica" w:hAnsi="Helvetica"/>
          <w:sz w:val="22"/>
          <w:szCs w:val="22"/>
          <w:lang w:val="es-ES"/>
        </w:rPr>
        <w:t xml:space="preserve">. </w:t>
      </w:r>
      <w:r w:rsidR="00AB1BE4">
        <w:rPr>
          <w:rFonts w:ascii="Helvetica" w:hAnsi="Helvetica"/>
          <w:sz w:val="22"/>
          <w:szCs w:val="22"/>
          <w:lang w:val="es-ES"/>
        </w:rPr>
        <w:t xml:space="preserve">Esto se relaciona también con que </w:t>
      </w:r>
      <w:r>
        <w:rPr>
          <w:rFonts w:ascii="Helvetica" w:hAnsi="Helvetica"/>
          <w:sz w:val="22"/>
          <w:szCs w:val="22"/>
          <w:lang w:val="es-ES"/>
        </w:rPr>
        <w:t xml:space="preserve">la mayoría de las pruebas utilizadas en las sentencias son testimoniales, seguidas por inspecciones generales y en algunos casos medios de carácter técnico. </w:t>
      </w:r>
    </w:p>
    <w:p w14:paraId="05766DD1" w14:textId="2F45049D" w:rsidR="00AB1BE4" w:rsidRDefault="00AB1BE4" w:rsidP="00AB1BE4">
      <w:pPr>
        <w:spacing w:before="240" w:line="360" w:lineRule="auto"/>
        <w:jc w:val="both"/>
        <w:rPr>
          <w:rFonts w:ascii="Helvetica" w:hAnsi="Helvetica"/>
          <w:sz w:val="22"/>
          <w:szCs w:val="22"/>
          <w:lang w:val="es-ES"/>
        </w:rPr>
      </w:pPr>
      <w:r>
        <w:rPr>
          <w:rFonts w:ascii="Helvetica" w:hAnsi="Helvetica"/>
          <w:sz w:val="22"/>
          <w:szCs w:val="22"/>
          <w:lang w:val="es-ES"/>
        </w:rPr>
        <w:t xml:space="preserve">Además, lo anterior también tiene efectos en que </w:t>
      </w:r>
      <w:r w:rsidR="00C6108A">
        <w:rPr>
          <w:rFonts w:ascii="Helvetica" w:hAnsi="Helvetica"/>
          <w:sz w:val="22"/>
          <w:szCs w:val="22"/>
          <w:lang w:val="es-ES"/>
        </w:rPr>
        <w:t xml:space="preserve">la investigación de los perpetradores es limitada. Se centra en los perpetradores materiales y, en algunas ocasiones en los intelectuales pero nunca en los estratégicos. Con ello la investigación es insuficiente para develar las estructuras criminales </w:t>
      </w:r>
      <w:r w:rsidR="009935D8">
        <w:rPr>
          <w:rFonts w:ascii="Helvetica" w:hAnsi="Helvetica"/>
          <w:sz w:val="22"/>
          <w:szCs w:val="22"/>
          <w:lang w:val="es-ES"/>
        </w:rPr>
        <w:t xml:space="preserve">que hacen posible la desaparición de personas. </w:t>
      </w:r>
    </w:p>
    <w:p w14:paraId="05CEBE8D" w14:textId="762134EE" w:rsidR="009935D8" w:rsidRDefault="009935D8" w:rsidP="00AB1BE4">
      <w:pPr>
        <w:spacing w:before="240" w:line="360" w:lineRule="auto"/>
        <w:jc w:val="both"/>
        <w:rPr>
          <w:rFonts w:ascii="Helvetica" w:hAnsi="Helvetica"/>
          <w:sz w:val="22"/>
          <w:szCs w:val="22"/>
          <w:lang w:val="es-ES"/>
        </w:rPr>
      </w:pPr>
      <w:r>
        <w:rPr>
          <w:rFonts w:ascii="Helvetica" w:hAnsi="Helvetica"/>
          <w:sz w:val="22"/>
          <w:szCs w:val="22"/>
          <w:lang w:val="es-ES"/>
        </w:rPr>
        <w:t xml:space="preserve">En este sentido, la investigación que se presenta en juicio y es recogida por las sentencias </w:t>
      </w:r>
      <w:r w:rsidR="009B6CB8">
        <w:rPr>
          <w:rFonts w:ascii="Helvetica" w:hAnsi="Helvetica"/>
          <w:sz w:val="22"/>
          <w:szCs w:val="22"/>
          <w:lang w:val="es-ES"/>
        </w:rPr>
        <w:t xml:space="preserve">podría ser similar a la investigación de cualquier otro delito simple: centrada en la conducta del perpetrador material como un hecho aislado y único objeto de investigación. Si bien esta mirada puede incluso asegurar los derechos de los imputados por delitos simples, dista mucho de ser el parámetro para los crímenes complejos. En este sentido, las sentencias muestras enormes deficiencias en el cumplimiento de la debida diligencia para la </w:t>
      </w:r>
      <w:r w:rsidR="009B6CB8">
        <w:rPr>
          <w:rFonts w:ascii="Helvetica" w:hAnsi="Helvetica"/>
          <w:sz w:val="22"/>
          <w:szCs w:val="22"/>
          <w:lang w:val="es-ES"/>
        </w:rPr>
        <w:lastRenderedPageBreak/>
        <w:t>investigación de los casos de desaparición forzada y por particulares. El acceso a la justicia para las víctimas y sus familias se ve limitado por investigaciones parciales que</w:t>
      </w:r>
      <w:r w:rsidR="00255140">
        <w:rPr>
          <w:rFonts w:ascii="Helvetica" w:hAnsi="Helvetica"/>
          <w:sz w:val="22"/>
          <w:szCs w:val="22"/>
          <w:lang w:val="es-ES"/>
        </w:rPr>
        <w:t xml:space="preserve"> aportan información incompleta sobre los hechos y que solo atienden a perpetradores materiales. </w:t>
      </w:r>
    </w:p>
    <w:p w14:paraId="5076572C" w14:textId="538452E5" w:rsidR="00A832BB" w:rsidRDefault="00532BF5" w:rsidP="00846BA2">
      <w:pPr>
        <w:spacing w:before="240" w:line="360" w:lineRule="auto"/>
        <w:jc w:val="both"/>
        <w:rPr>
          <w:rFonts w:ascii="Helvetica" w:hAnsi="Helvetica"/>
          <w:sz w:val="22"/>
          <w:szCs w:val="22"/>
          <w:lang w:val="es-ES"/>
        </w:rPr>
      </w:pPr>
      <w:r>
        <w:rPr>
          <w:rFonts w:ascii="Helvetica" w:hAnsi="Helvetica"/>
          <w:sz w:val="22"/>
          <w:szCs w:val="22"/>
          <w:lang w:val="es-ES"/>
        </w:rPr>
        <w:t>En este sentido, la</w:t>
      </w:r>
      <w:r w:rsidR="00ED6847">
        <w:rPr>
          <w:rFonts w:ascii="Helvetica" w:hAnsi="Helvetica"/>
          <w:sz w:val="22"/>
          <w:szCs w:val="22"/>
          <w:lang w:val="es-ES"/>
        </w:rPr>
        <w:t xml:space="preserve"> mera</w:t>
      </w:r>
      <w:r>
        <w:rPr>
          <w:rFonts w:ascii="Helvetica" w:hAnsi="Helvetica"/>
          <w:sz w:val="22"/>
          <w:szCs w:val="22"/>
          <w:lang w:val="es-ES"/>
        </w:rPr>
        <w:t xml:space="preserve"> existencia de sentencias no satisface el derecho de acceso a la justicia de las víctimas ni en términos de verdad ni de justicia</w:t>
      </w:r>
      <w:r w:rsidR="00FA5DF6">
        <w:rPr>
          <w:rFonts w:ascii="Helvetica" w:hAnsi="Helvetica"/>
          <w:sz w:val="22"/>
          <w:szCs w:val="22"/>
          <w:lang w:val="es-ES"/>
        </w:rPr>
        <w:t xml:space="preserve"> de acuerdo con los estándares de ese derecho. En cambio, las sentencias sí abren dudas de las razones por las que las investigaciones fueron limitadas y no se llevaron a cabo con la debida diligencia. Aún más si se considera que las propias sentencias aportan información que apuntaría a problemas complejos en los que se insertan las desapariciones. </w:t>
      </w:r>
    </w:p>
    <w:p w14:paraId="1FE80B60" w14:textId="4673CA9C" w:rsidR="00FA3FC6" w:rsidRDefault="00A92528" w:rsidP="00846BA2">
      <w:pPr>
        <w:spacing w:before="240" w:line="360" w:lineRule="auto"/>
        <w:jc w:val="both"/>
        <w:rPr>
          <w:rFonts w:ascii="Helvetica" w:hAnsi="Helvetica"/>
          <w:sz w:val="22"/>
          <w:szCs w:val="22"/>
          <w:lang w:val="es-ES"/>
        </w:rPr>
      </w:pPr>
      <w:r>
        <w:rPr>
          <w:rFonts w:ascii="Helvetica" w:hAnsi="Helvetica"/>
          <w:sz w:val="22"/>
          <w:szCs w:val="22"/>
          <w:lang w:val="es-ES"/>
        </w:rPr>
        <w:t>L</w:t>
      </w:r>
      <w:r w:rsidR="002648EC">
        <w:rPr>
          <w:rFonts w:ascii="Helvetica" w:hAnsi="Helvetica"/>
          <w:sz w:val="22"/>
          <w:szCs w:val="22"/>
          <w:lang w:val="es-ES"/>
        </w:rPr>
        <w:t>as sentencias no buscan que las víctimas conozcan la verdad sobre la desaparición en tanto crimen complejo</w:t>
      </w:r>
      <w:r w:rsidR="00FA3FC6">
        <w:rPr>
          <w:rFonts w:ascii="Helvetica" w:hAnsi="Helvetica"/>
          <w:sz w:val="22"/>
          <w:szCs w:val="22"/>
          <w:lang w:val="es-ES"/>
        </w:rPr>
        <w:t xml:space="preserve"> desde una aproximación estructural que identifique causas, procesos y consecuencias. Se trata de una verdad y una justicia parciales. </w:t>
      </w:r>
    </w:p>
    <w:p w14:paraId="6B996632" w14:textId="2F194279" w:rsidR="00BC1104" w:rsidRDefault="00FA3FC6" w:rsidP="00FE2EB1">
      <w:pPr>
        <w:spacing w:before="240" w:line="360" w:lineRule="auto"/>
        <w:jc w:val="both"/>
        <w:rPr>
          <w:rFonts w:ascii="Helvetica" w:hAnsi="Helvetica"/>
          <w:sz w:val="22"/>
          <w:szCs w:val="22"/>
          <w:lang w:val="es-ES"/>
        </w:rPr>
      </w:pPr>
      <w:r>
        <w:rPr>
          <w:rFonts w:ascii="Helvetica" w:hAnsi="Helvetica"/>
          <w:sz w:val="22"/>
          <w:szCs w:val="22"/>
          <w:lang w:val="es-ES"/>
        </w:rPr>
        <w:t>Sin embargo, las sentencias aportan algunas piezas que</w:t>
      </w:r>
      <w:r w:rsidR="002648EC">
        <w:rPr>
          <w:rFonts w:ascii="Helvetica" w:hAnsi="Helvetica"/>
          <w:sz w:val="22"/>
          <w:szCs w:val="22"/>
          <w:lang w:val="es-ES"/>
        </w:rPr>
        <w:t xml:space="preserve"> dejan ver que las desapariciones se insertan en problemas estructurales </w:t>
      </w:r>
      <w:r w:rsidR="008D3545">
        <w:rPr>
          <w:rFonts w:ascii="Helvetica" w:hAnsi="Helvetica"/>
          <w:sz w:val="22"/>
          <w:szCs w:val="22"/>
          <w:lang w:val="es-ES"/>
        </w:rPr>
        <w:t xml:space="preserve">vinculados con la violencia en el país y con los diseños institucionales de </w:t>
      </w:r>
      <w:r w:rsidR="00A92528">
        <w:rPr>
          <w:rFonts w:ascii="Helvetica" w:hAnsi="Helvetica"/>
          <w:sz w:val="22"/>
          <w:szCs w:val="22"/>
          <w:lang w:val="es-ES"/>
        </w:rPr>
        <w:t xml:space="preserve">los órganos </w:t>
      </w:r>
      <w:r w:rsidR="008D3545">
        <w:rPr>
          <w:rFonts w:ascii="Helvetica" w:hAnsi="Helvetica"/>
          <w:sz w:val="22"/>
          <w:szCs w:val="22"/>
          <w:lang w:val="es-ES"/>
        </w:rPr>
        <w:t xml:space="preserve">de procuración de justicia. Las sentencias constituyen especies de mirillas por las que se alcanzan a ver </w:t>
      </w:r>
      <w:r w:rsidR="00772F31">
        <w:rPr>
          <w:rFonts w:ascii="Helvetica" w:hAnsi="Helvetica"/>
          <w:sz w:val="22"/>
          <w:szCs w:val="22"/>
          <w:lang w:val="es-ES"/>
        </w:rPr>
        <w:t xml:space="preserve">fenómenos complejos y donde la desaparición constituye un elemento que relaciona a distintos actores e intereses. </w:t>
      </w:r>
      <w:r w:rsidR="00BC1104">
        <w:rPr>
          <w:rFonts w:ascii="Helvetica" w:hAnsi="Helvetica"/>
          <w:sz w:val="22"/>
          <w:szCs w:val="22"/>
          <w:lang w:val="es-ES"/>
        </w:rPr>
        <w:t xml:space="preserve">La primera </w:t>
      </w:r>
      <w:r w:rsidR="00772F31">
        <w:rPr>
          <w:rFonts w:ascii="Helvetica" w:hAnsi="Helvetica"/>
          <w:sz w:val="22"/>
          <w:szCs w:val="22"/>
          <w:lang w:val="es-ES"/>
        </w:rPr>
        <w:t xml:space="preserve">problemática es la </w:t>
      </w:r>
      <w:r w:rsidR="00BC1104">
        <w:rPr>
          <w:rFonts w:ascii="Helvetica" w:hAnsi="Helvetica"/>
          <w:sz w:val="22"/>
          <w:szCs w:val="22"/>
          <w:lang w:val="es-ES"/>
        </w:rPr>
        <w:t xml:space="preserve">vinculada con la llamada “guerra contra el narcotráfico” y, en general, con la actuación de las fuerzas armadas en contra del tráfico de drogas o armas. La segunda </w:t>
      </w:r>
      <w:r w:rsidR="00772F31">
        <w:rPr>
          <w:rFonts w:ascii="Helvetica" w:hAnsi="Helvetica"/>
          <w:sz w:val="22"/>
          <w:szCs w:val="22"/>
          <w:lang w:val="es-ES"/>
        </w:rPr>
        <w:t xml:space="preserve">se relaciona con </w:t>
      </w:r>
      <w:r w:rsidR="00BC1104">
        <w:rPr>
          <w:rFonts w:ascii="Helvetica" w:hAnsi="Helvetica"/>
          <w:sz w:val="22"/>
          <w:szCs w:val="22"/>
          <w:lang w:val="es-ES"/>
        </w:rPr>
        <w:t>los incentivos perversos presente</w:t>
      </w:r>
      <w:r w:rsidR="00A92528">
        <w:rPr>
          <w:rFonts w:ascii="Helvetica" w:hAnsi="Helvetica"/>
          <w:sz w:val="22"/>
          <w:szCs w:val="22"/>
          <w:lang w:val="es-ES"/>
        </w:rPr>
        <w:t>s</w:t>
      </w:r>
      <w:r w:rsidR="00BC1104">
        <w:rPr>
          <w:rFonts w:ascii="Helvetica" w:hAnsi="Helvetica"/>
          <w:sz w:val="22"/>
          <w:szCs w:val="22"/>
          <w:lang w:val="es-ES"/>
        </w:rPr>
        <w:t xml:space="preserve"> en instituciones de seguridad que estimulan prácticas como la desaparición de personas. </w:t>
      </w:r>
    </w:p>
    <w:p w14:paraId="76F27283" w14:textId="5A3308A2" w:rsidR="00BB2BB9" w:rsidRDefault="001610CD"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Dentro del primer grupo de </w:t>
      </w:r>
      <w:r w:rsidR="009D6530">
        <w:rPr>
          <w:rFonts w:ascii="Helvetica" w:hAnsi="Helvetica"/>
          <w:sz w:val="22"/>
          <w:szCs w:val="22"/>
          <w:lang w:val="es-ES"/>
        </w:rPr>
        <w:t>sentencias</w:t>
      </w:r>
      <w:r>
        <w:rPr>
          <w:rFonts w:ascii="Helvetica" w:hAnsi="Helvetica"/>
          <w:sz w:val="22"/>
          <w:szCs w:val="22"/>
          <w:lang w:val="es-ES"/>
        </w:rPr>
        <w:t xml:space="preserve"> </w:t>
      </w:r>
      <w:r w:rsidR="009D6530">
        <w:rPr>
          <w:rFonts w:ascii="Helvetica" w:hAnsi="Helvetica"/>
          <w:sz w:val="22"/>
          <w:szCs w:val="22"/>
          <w:lang w:val="es-ES"/>
        </w:rPr>
        <w:t xml:space="preserve">están aquellas </w:t>
      </w:r>
      <w:r>
        <w:rPr>
          <w:rFonts w:ascii="Helvetica" w:hAnsi="Helvetica"/>
          <w:sz w:val="22"/>
          <w:szCs w:val="22"/>
          <w:lang w:val="es-ES"/>
        </w:rPr>
        <w:t xml:space="preserve">que </w:t>
      </w:r>
      <w:r w:rsidR="009D6530">
        <w:rPr>
          <w:rFonts w:ascii="Helvetica" w:hAnsi="Helvetica"/>
          <w:sz w:val="22"/>
          <w:szCs w:val="22"/>
          <w:lang w:val="es-ES"/>
        </w:rPr>
        <w:t>refieren</w:t>
      </w:r>
      <w:r w:rsidR="009946D0">
        <w:rPr>
          <w:rFonts w:ascii="Helvetica" w:hAnsi="Helvetica"/>
          <w:sz w:val="22"/>
          <w:szCs w:val="22"/>
          <w:lang w:val="es-ES"/>
        </w:rPr>
        <w:t xml:space="preserve"> a estructuras criminales, integradas o con participación de agentes estatales, particulares o de ambos.</w:t>
      </w:r>
      <w:r w:rsidR="00E343A8">
        <w:rPr>
          <w:rStyle w:val="Refdenotaalpie"/>
          <w:rFonts w:ascii="Helvetica" w:hAnsi="Helvetica"/>
          <w:sz w:val="22"/>
          <w:szCs w:val="22"/>
          <w:lang w:val="es-ES"/>
        </w:rPr>
        <w:footnoteReference w:id="6"/>
      </w:r>
      <w:r w:rsidR="009946D0">
        <w:rPr>
          <w:rFonts w:ascii="Helvetica" w:hAnsi="Helvetica"/>
          <w:sz w:val="22"/>
          <w:szCs w:val="22"/>
          <w:lang w:val="es-ES"/>
        </w:rPr>
        <w:t xml:space="preserve"> Todos los casos donde están involucrados militares (ver </w:t>
      </w:r>
      <w:r w:rsidR="009D6530">
        <w:rPr>
          <w:rFonts w:ascii="Helvetica" w:hAnsi="Helvetica"/>
          <w:sz w:val="22"/>
          <w:szCs w:val="22"/>
          <w:lang w:val="es-ES"/>
        </w:rPr>
        <w:t>anexo</w:t>
      </w:r>
      <w:r w:rsidR="009946D0">
        <w:rPr>
          <w:rFonts w:ascii="Helvetica" w:hAnsi="Helvetica"/>
          <w:sz w:val="22"/>
          <w:szCs w:val="22"/>
          <w:lang w:val="es-ES"/>
        </w:rPr>
        <w:t xml:space="preserve"> </w:t>
      </w:r>
      <w:r w:rsidR="009D6530">
        <w:rPr>
          <w:rFonts w:ascii="Helvetica" w:hAnsi="Helvetica"/>
          <w:sz w:val="22"/>
          <w:szCs w:val="22"/>
          <w:lang w:val="es-ES"/>
        </w:rPr>
        <w:t>1</w:t>
      </w:r>
      <w:r w:rsidR="009946D0">
        <w:rPr>
          <w:rFonts w:ascii="Helvetica" w:hAnsi="Helvetica"/>
          <w:sz w:val="22"/>
          <w:szCs w:val="22"/>
          <w:lang w:val="es-ES"/>
        </w:rPr>
        <w:t xml:space="preserve">) caen en este grupo, así como varias de las sentencias donde están involucrados policías estatales, municipales o agentes federales de investigación. </w:t>
      </w:r>
    </w:p>
    <w:p w14:paraId="4E201096" w14:textId="77777777" w:rsidR="00BB2BB9" w:rsidRDefault="00BB2BB9" w:rsidP="00FE2EB1">
      <w:pPr>
        <w:spacing w:before="240" w:line="360" w:lineRule="auto"/>
        <w:jc w:val="both"/>
        <w:rPr>
          <w:rFonts w:ascii="Helvetica" w:hAnsi="Helvetica"/>
          <w:sz w:val="22"/>
          <w:szCs w:val="22"/>
          <w:lang w:val="es-ES"/>
        </w:rPr>
      </w:pPr>
      <w:r>
        <w:rPr>
          <w:rFonts w:ascii="Helvetica" w:hAnsi="Helvetica"/>
          <w:sz w:val="22"/>
          <w:szCs w:val="22"/>
          <w:lang w:val="es-ES"/>
        </w:rPr>
        <w:lastRenderedPageBreak/>
        <w:t>Estas sentencias tienen las siguientes características: la detención de la o las personas se realiza por grupos de agentes estatales (no se trata de una autoridad solitaria)</w:t>
      </w:r>
      <w:r w:rsidR="00824497">
        <w:rPr>
          <w:rFonts w:ascii="Helvetica" w:hAnsi="Helvetica"/>
          <w:sz w:val="22"/>
          <w:szCs w:val="22"/>
          <w:lang w:val="es-ES"/>
        </w:rPr>
        <w:t>;</w:t>
      </w:r>
      <w:r>
        <w:rPr>
          <w:rFonts w:ascii="Helvetica" w:hAnsi="Helvetica"/>
          <w:sz w:val="22"/>
          <w:szCs w:val="22"/>
          <w:lang w:val="es-ES"/>
        </w:rPr>
        <w:t xml:space="preserve"> </w:t>
      </w:r>
      <w:r w:rsidR="00824497">
        <w:rPr>
          <w:rFonts w:ascii="Helvetica" w:hAnsi="Helvetica"/>
          <w:sz w:val="22"/>
          <w:szCs w:val="22"/>
          <w:lang w:val="es-ES"/>
        </w:rPr>
        <w:t xml:space="preserve">donde la detención la llevó a cabo un grupo criminal, suele haber intervención de autoridades; en la mayoría de los casos </w:t>
      </w:r>
      <w:r w:rsidR="003331E3">
        <w:rPr>
          <w:rFonts w:ascii="Helvetica" w:hAnsi="Helvetica"/>
          <w:sz w:val="22"/>
          <w:szCs w:val="22"/>
          <w:lang w:val="es-ES"/>
        </w:rPr>
        <w:t>la detención ocurre como parte de un operativo</w:t>
      </w:r>
      <w:r w:rsidR="00C458A8">
        <w:rPr>
          <w:rFonts w:ascii="Helvetica" w:hAnsi="Helvetica"/>
          <w:sz w:val="22"/>
          <w:szCs w:val="22"/>
          <w:lang w:val="es-ES"/>
        </w:rPr>
        <w:t>,</w:t>
      </w:r>
      <w:r w:rsidR="00824497">
        <w:rPr>
          <w:rFonts w:ascii="Helvetica" w:hAnsi="Helvetica"/>
          <w:sz w:val="22"/>
          <w:szCs w:val="22"/>
          <w:lang w:val="es-ES"/>
        </w:rPr>
        <w:t xml:space="preserve"> y existe conocimiento de algún superior jerárquico (suelen ser mandos medios o altos con conocimiento de los hechos). </w:t>
      </w:r>
      <w:r w:rsidR="00C458A8">
        <w:rPr>
          <w:rFonts w:ascii="Helvetica" w:hAnsi="Helvetica"/>
          <w:sz w:val="22"/>
          <w:szCs w:val="22"/>
          <w:lang w:val="es-ES"/>
        </w:rPr>
        <w:t xml:space="preserve">Además, en varios casos se cometen otros delitos como el de tortura, lesiones u homicidio, esto es, se trata de actos con un mayor grado de violencia añadida a la desaparición misma. </w:t>
      </w:r>
    </w:p>
    <w:p w14:paraId="3F293437" w14:textId="77777777" w:rsidR="000428ED" w:rsidRDefault="00824497"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No obstante, las sentencias no analizan las estructuras criminales, la relación entre los agentes estatales y los particulares o la intervención del superior jerárquico. En su gran mayoría, las sentencias condenan a los mandos bajos, salvo en el caso de las sentencias contra militares, donde se condena a mandos medios pero la sentencia de cuenta de la intervención de altos mandos del Ejército en las operaciones. En cambio, en todas las resoluciones sólo se condena a los autores materiales de los hechos. </w:t>
      </w:r>
      <w:r w:rsidR="00C458A8">
        <w:rPr>
          <w:rFonts w:ascii="Helvetica" w:hAnsi="Helvetica"/>
          <w:sz w:val="22"/>
          <w:szCs w:val="22"/>
          <w:lang w:val="es-ES"/>
        </w:rPr>
        <w:t>El análisis de las sentencias, por tanto, no permite desentrañar la forma en que se establece la relación de cooperación entre autoridades y grupos criminales o</w:t>
      </w:r>
      <w:r w:rsidR="000428ED">
        <w:rPr>
          <w:rFonts w:ascii="Helvetica" w:hAnsi="Helvetica"/>
          <w:sz w:val="22"/>
          <w:szCs w:val="22"/>
          <w:lang w:val="es-ES"/>
        </w:rPr>
        <w:t xml:space="preserve"> la intervención de los superiores jerárquicos de las fiscalías, secretarías de seguridad pública y Ejército. </w:t>
      </w:r>
    </w:p>
    <w:p w14:paraId="2AC50723" w14:textId="77777777" w:rsidR="00775574" w:rsidRDefault="00775574"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Por ejemplo, en un par de sentencias en contra de militares, se da cuenta de la intervención de particulares, ya sea de manera activa en la detención y torturas a las personas detenidas o bien como receptores de las personas detenidas. En ambos casos, los superiores jerárquicos de los militares que participaron tuvieron conocimiento y/o intervinieron directamente. En las sentencias se condena mandos medios del Ejército que tenían a su cargo a un grupo de elementos, sin embargo, nada se dice de su relación con los particulares, las razones de la detención y posterior desaparición, o del nivel de intervención del superior jerárquico. </w:t>
      </w:r>
    </w:p>
    <w:p w14:paraId="63AF856E" w14:textId="2B65AB7D" w:rsidR="00775574" w:rsidRPr="00EF389F" w:rsidRDefault="00775574"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Excepciones a esta aproximación las encontramos en las sentencias </w:t>
      </w:r>
      <w:r w:rsidR="00432DEA">
        <w:rPr>
          <w:rFonts w:ascii="Helvetica" w:hAnsi="Helvetica"/>
          <w:sz w:val="22"/>
          <w:szCs w:val="22"/>
          <w:lang w:val="es-ES"/>
        </w:rPr>
        <w:t xml:space="preserve">de las causas penales </w:t>
      </w:r>
      <w:r w:rsidR="007C4C5B">
        <w:rPr>
          <w:rFonts w:ascii="Helvetica" w:hAnsi="Helvetica"/>
          <w:sz w:val="22"/>
          <w:szCs w:val="22"/>
          <w:lang w:val="es-ES"/>
        </w:rPr>
        <w:t>41/2014</w:t>
      </w:r>
      <w:r w:rsidR="007433F9" w:rsidRPr="007433F9">
        <w:rPr>
          <w:rFonts w:ascii="Helvetica" w:hAnsi="Helvetica"/>
          <w:sz w:val="22"/>
          <w:szCs w:val="22"/>
          <w:lang w:val="es-ES"/>
        </w:rPr>
        <w:t xml:space="preserve"> </w:t>
      </w:r>
      <w:r w:rsidR="00432DEA">
        <w:rPr>
          <w:rFonts w:ascii="Helvetica" w:hAnsi="Helvetica"/>
          <w:sz w:val="22"/>
          <w:szCs w:val="22"/>
          <w:lang w:val="es-ES"/>
        </w:rPr>
        <w:t>de Chihuahua y 10/2018 y 490/2016 de Coahuila.</w:t>
      </w:r>
      <w:r w:rsidR="00152DC7">
        <w:rPr>
          <w:rStyle w:val="Refdenotaalpie"/>
          <w:rFonts w:ascii="Helvetica" w:hAnsi="Helvetica"/>
          <w:sz w:val="22"/>
          <w:szCs w:val="22"/>
          <w:lang w:val="es-ES"/>
        </w:rPr>
        <w:footnoteReference w:id="7"/>
      </w:r>
      <w:r w:rsidR="00432DEA">
        <w:rPr>
          <w:rFonts w:ascii="Helvetica" w:hAnsi="Helvetica"/>
          <w:sz w:val="22"/>
          <w:szCs w:val="22"/>
          <w:lang w:val="es-ES"/>
        </w:rPr>
        <w:t xml:space="preserve"> En el primero de los casos se analiza la forma de operación entre autoridades y un grupo criminal y la persona </w:t>
      </w:r>
      <w:r w:rsidR="00432DEA">
        <w:rPr>
          <w:rFonts w:ascii="Helvetica" w:hAnsi="Helvetica"/>
          <w:sz w:val="22"/>
          <w:szCs w:val="22"/>
          <w:lang w:val="es-ES"/>
        </w:rPr>
        <w:lastRenderedPageBreak/>
        <w:t>responsable es sancionado también por su asociación delictuosa.</w:t>
      </w:r>
      <w:r w:rsidR="007C4C5B">
        <w:rPr>
          <w:rFonts w:ascii="Helvetica" w:hAnsi="Helvetica"/>
          <w:sz w:val="22"/>
          <w:szCs w:val="22"/>
          <w:lang w:val="es-ES"/>
        </w:rPr>
        <w:t xml:space="preserve"> Para ello se acumulan tres juicios orales para fortalecer la teoría del caso de la colaboración de policías con un grupo criminal.</w:t>
      </w:r>
      <w:r w:rsidR="00432DEA">
        <w:rPr>
          <w:rFonts w:ascii="Helvetica" w:hAnsi="Helvetica"/>
          <w:sz w:val="22"/>
          <w:szCs w:val="22"/>
          <w:lang w:val="es-ES"/>
        </w:rPr>
        <w:t xml:space="preserve"> Los casos de Coahuila </w:t>
      </w:r>
      <w:r w:rsidR="002E5C2B">
        <w:rPr>
          <w:rFonts w:ascii="Helvetica" w:hAnsi="Helvetica"/>
          <w:sz w:val="22"/>
          <w:szCs w:val="22"/>
          <w:lang w:val="es-ES"/>
        </w:rPr>
        <w:t xml:space="preserve">son atípicos </w:t>
      </w:r>
      <w:r w:rsidR="00432DEA">
        <w:rPr>
          <w:rFonts w:ascii="Helvetica" w:hAnsi="Helvetica"/>
          <w:sz w:val="22"/>
          <w:szCs w:val="22"/>
          <w:lang w:val="es-ES"/>
        </w:rPr>
        <w:t xml:space="preserve">por </w:t>
      </w:r>
      <w:r w:rsidR="00544E21">
        <w:rPr>
          <w:rFonts w:ascii="Helvetica" w:hAnsi="Helvetica"/>
          <w:sz w:val="22"/>
          <w:szCs w:val="22"/>
          <w:lang w:val="es-ES"/>
        </w:rPr>
        <w:t xml:space="preserve">la investigación </w:t>
      </w:r>
      <w:r w:rsidR="00EF389F">
        <w:rPr>
          <w:rFonts w:ascii="Helvetica" w:hAnsi="Helvetica"/>
          <w:sz w:val="22"/>
          <w:szCs w:val="22"/>
          <w:lang w:val="es-ES"/>
        </w:rPr>
        <w:t xml:space="preserve">minuciosa realizada del </w:t>
      </w:r>
      <w:r w:rsidR="00EF389F">
        <w:rPr>
          <w:rFonts w:ascii="Helvetica" w:hAnsi="Helvetica"/>
          <w:i/>
          <w:iCs/>
          <w:sz w:val="22"/>
          <w:szCs w:val="22"/>
          <w:lang w:val="es-ES"/>
        </w:rPr>
        <w:t xml:space="preserve">modus operandi </w:t>
      </w:r>
      <w:r w:rsidR="00EF389F">
        <w:rPr>
          <w:rFonts w:ascii="Helvetica" w:hAnsi="Helvetica"/>
          <w:sz w:val="22"/>
          <w:szCs w:val="22"/>
          <w:lang w:val="es-ES"/>
        </w:rPr>
        <w:t>del grupo criminal y funcionarios del C</w:t>
      </w:r>
      <w:r w:rsidR="00865043">
        <w:rPr>
          <w:rFonts w:ascii="Helvetica" w:hAnsi="Helvetica"/>
          <w:sz w:val="22"/>
          <w:szCs w:val="22"/>
          <w:lang w:val="es-ES"/>
        </w:rPr>
        <w:t xml:space="preserve">ERESO </w:t>
      </w:r>
      <w:r w:rsidR="00EF389F">
        <w:rPr>
          <w:rFonts w:ascii="Helvetica" w:hAnsi="Helvetica"/>
          <w:sz w:val="22"/>
          <w:szCs w:val="22"/>
          <w:lang w:val="es-ES"/>
        </w:rPr>
        <w:t>de Piedras Negras. En dos sentencias, por distintos hechos, se da cuenta de cómo operaba la relación entre autoridades y el grupo criminal, el uso de las instalaciones del C</w:t>
      </w:r>
      <w:r w:rsidR="00865043">
        <w:rPr>
          <w:rFonts w:ascii="Helvetica" w:hAnsi="Helvetica"/>
          <w:sz w:val="22"/>
          <w:szCs w:val="22"/>
          <w:lang w:val="es-ES"/>
        </w:rPr>
        <w:t>ERESO</w:t>
      </w:r>
      <w:r w:rsidR="00EF389F">
        <w:rPr>
          <w:rFonts w:ascii="Helvetica" w:hAnsi="Helvetica"/>
          <w:sz w:val="22"/>
          <w:szCs w:val="22"/>
          <w:lang w:val="es-ES"/>
        </w:rPr>
        <w:t xml:space="preserve"> para ejecuciones, desaparición de personas, inhumaciones, etc., así como </w:t>
      </w:r>
      <w:r w:rsidR="008D51A0">
        <w:rPr>
          <w:rFonts w:ascii="Helvetica" w:hAnsi="Helvetica"/>
          <w:sz w:val="22"/>
          <w:szCs w:val="22"/>
          <w:lang w:val="es-ES"/>
        </w:rPr>
        <w:t>las razones de la detención y desaparición de las víctimas.</w:t>
      </w:r>
      <w:r w:rsidR="00EF389F">
        <w:rPr>
          <w:rFonts w:ascii="Helvetica" w:hAnsi="Helvetica"/>
          <w:sz w:val="22"/>
          <w:szCs w:val="22"/>
          <w:lang w:val="es-ES"/>
        </w:rPr>
        <w:t xml:space="preserve"> En una de las sentencias se condena a un custodio que se auto nombr</w:t>
      </w:r>
      <w:r w:rsidR="00865043">
        <w:rPr>
          <w:rFonts w:ascii="Helvetica" w:hAnsi="Helvetica"/>
          <w:sz w:val="22"/>
          <w:szCs w:val="22"/>
          <w:lang w:val="es-ES"/>
        </w:rPr>
        <w:t>a</w:t>
      </w:r>
      <w:r w:rsidR="00EF389F">
        <w:rPr>
          <w:rFonts w:ascii="Helvetica" w:hAnsi="Helvetica"/>
          <w:sz w:val="22"/>
          <w:szCs w:val="22"/>
          <w:lang w:val="es-ES"/>
        </w:rPr>
        <w:t xml:space="preserve"> “jefe de la plaza” y en la otra a integrantes del grupo criminal. </w:t>
      </w:r>
    </w:p>
    <w:p w14:paraId="5F9EC43F" w14:textId="595942F3" w:rsidR="00BE0FBB" w:rsidRDefault="00041A42" w:rsidP="00FE2EB1">
      <w:pPr>
        <w:spacing w:before="240" w:line="360" w:lineRule="auto"/>
        <w:jc w:val="both"/>
        <w:rPr>
          <w:rFonts w:ascii="Helvetica" w:hAnsi="Helvetica"/>
          <w:sz w:val="22"/>
          <w:szCs w:val="22"/>
          <w:lang w:val="es-ES"/>
        </w:rPr>
      </w:pPr>
      <w:r>
        <w:rPr>
          <w:rFonts w:ascii="Helvetica" w:hAnsi="Helvetica"/>
          <w:sz w:val="22"/>
          <w:szCs w:val="22"/>
          <w:lang w:val="es-ES"/>
        </w:rPr>
        <w:t>Lo que hace diferente a estas sentencias es el uso de medios de prueba diferenciados. Mientras que el grueso de las sentencias se basa en el uso de testimonios y algun</w:t>
      </w:r>
      <w:r w:rsidR="00865043">
        <w:rPr>
          <w:rFonts w:ascii="Helvetica" w:hAnsi="Helvetica"/>
          <w:sz w:val="22"/>
          <w:szCs w:val="22"/>
          <w:lang w:val="es-ES"/>
        </w:rPr>
        <w:t>o</w:t>
      </w:r>
      <w:r>
        <w:rPr>
          <w:rFonts w:ascii="Helvetica" w:hAnsi="Helvetica"/>
          <w:sz w:val="22"/>
          <w:szCs w:val="22"/>
          <w:lang w:val="es-ES"/>
        </w:rPr>
        <w:t>s document</w:t>
      </w:r>
      <w:r w:rsidR="00865043">
        <w:rPr>
          <w:rFonts w:ascii="Helvetica" w:hAnsi="Helvetica"/>
          <w:sz w:val="22"/>
          <w:szCs w:val="22"/>
          <w:lang w:val="es-ES"/>
        </w:rPr>
        <w:t>o</w:t>
      </w:r>
      <w:r>
        <w:rPr>
          <w:rFonts w:ascii="Helvetica" w:hAnsi="Helvetica"/>
          <w:sz w:val="22"/>
          <w:szCs w:val="22"/>
          <w:lang w:val="es-ES"/>
        </w:rPr>
        <w:t>s y diligencias, las sentencias de Coahuila utilizan pruebas técnicas y evidencias de otros casos. De acuerdo con ello, uno de los principales problemas para el acceso a la justicia lo constituye la</w:t>
      </w:r>
      <w:r w:rsidR="00362FD7">
        <w:rPr>
          <w:rFonts w:ascii="Helvetica" w:hAnsi="Helvetica"/>
          <w:sz w:val="22"/>
          <w:szCs w:val="22"/>
          <w:lang w:val="es-ES"/>
        </w:rPr>
        <w:t xml:space="preserve"> debida diligencia para la obtención de</w:t>
      </w:r>
      <w:r w:rsidR="005843F0">
        <w:rPr>
          <w:rFonts w:ascii="Helvetica" w:hAnsi="Helvetica"/>
          <w:sz w:val="22"/>
          <w:szCs w:val="22"/>
          <w:lang w:val="es-ES"/>
        </w:rPr>
        <w:t xml:space="preserve"> medios de</w:t>
      </w:r>
      <w:r w:rsidR="00362FD7">
        <w:rPr>
          <w:rFonts w:ascii="Helvetica" w:hAnsi="Helvetica"/>
          <w:sz w:val="22"/>
          <w:szCs w:val="22"/>
          <w:lang w:val="es-ES"/>
        </w:rPr>
        <w:t xml:space="preserve"> pruebas. </w:t>
      </w:r>
      <w:r w:rsidR="006066AB">
        <w:rPr>
          <w:rFonts w:ascii="Helvetica" w:hAnsi="Helvetica"/>
          <w:sz w:val="22"/>
          <w:szCs w:val="22"/>
          <w:lang w:val="es-ES"/>
        </w:rPr>
        <w:t>En la medida que las sentencias se sustenten en testimonios poco o nada se podrá develar respecto de los problemas estructurales que sostienen la dinámica de las desapariciones, a lo mucho lo que se logra es la sanción aislada de alguno de los autores de la desaparición. Si bien con esto se provee un</w:t>
      </w:r>
      <w:r w:rsidR="00BE0FBB">
        <w:rPr>
          <w:rFonts w:ascii="Helvetica" w:hAnsi="Helvetica"/>
          <w:sz w:val="22"/>
          <w:szCs w:val="22"/>
          <w:lang w:val="es-ES"/>
        </w:rPr>
        <w:t xml:space="preserve"> fragmento de lo sucedido a las personas desaparecidas, también es cierto que la respuesta de las sentencias es parcial. </w:t>
      </w:r>
    </w:p>
    <w:p w14:paraId="68DB8551" w14:textId="77777777" w:rsidR="00BE0FBB" w:rsidRDefault="00BE0FBB"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Asimismo, la intervención de la autoridad judicial también es clave para dar a conocer los hechos, tanto a los familiares de las víctimas como a la sociedad. Algunas sentencias </w:t>
      </w:r>
      <w:r w:rsidR="00C65859">
        <w:rPr>
          <w:rFonts w:ascii="Helvetica" w:hAnsi="Helvetica"/>
          <w:sz w:val="22"/>
          <w:szCs w:val="22"/>
          <w:lang w:val="es-ES"/>
        </w:rPr>
        <w:t xml:space="preserve">consideran solo elementos de prueba que les llevan directamente a acreditar o no la responsabilidad del imputado, dejando de lado otros elementos que han sido aportados al juicio. Aunque esta visión podría considerarse conforme a los principios del sistema acusatorio, </w:t>
      </w:r>
      <w:r w:rsidR="0064083B">
        <w:rPr>
          <w:rFonts w:ascii="Helvetica" w:hAnsi="Helvetica"/>
          <w:sz w:val="22"/>
          <w:szCs w:val="22"/>
          <w:lang w:val="es-ES"/>
        </w:rPr>
        <w:t xml:space="preserve">tratándose de delitos complejos como la desaparición forzada de personas </w:t>
      </w:r>
      <w:r w:rsidR="00853965">
        <w:rPr>
          <w:rFonts w:ascii="Helvetica" w:hAnsi="Helvetica"/>
          <w:sz w:val="22"/>
          <w:szCs w:val="22"/>
          <w:lang w:val="es-ES"/>
        </w:rPr>
        <w:t xml:space="preserve">la autoridad judicial debe considerar la naturaleza propia del delito, no solo para acreditar la responsabilidad del imputado, sino para lograr el acceso a la justicia. La debida diligencia no solo opera para lograr una condena, sino también para proveer verdad y justicia. </w:t>
      </w:r>
    </w:p>
    <w:p w14:paraId="48966BDC" w14:textId="59262247" w:rsidR="00AC05D5" w:rsidRDefault="00AC05D5"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Un aspecto que llama la atención de </w:t>
      </w:r>
      <w:r w:rsidR="005843F0">
        <w:rPr>
          <w:rFonts w:ascii="Helvetica" w:hAnsi="Helvetica"/>
          <w:sz w:val="22"/>
          <w:szCs w:val="22"/>
          <w:lang w:val="es-ES"/>
        </w:rPr>
        <w:t>estas sentencias</w:t>
      </w:r>
      <w:r>
        <w:rPr>
          <w:rFonts w:ascii="Helvetica" w:hAnsi="Helvetica"/>
          <w:sz w:val="22"/>
          <w:szCs w:val="22"/>
          <w:lang w:val="es-ES"/>
        </w:rPr>
        <w:t xml:space="preserve"> es que </w:t>
      </w:r>
      <w:r w:rsidR="00A13B60">
        <w:rPr>
          <w:rFonts w:ascii="Helvetica" w:hAnsi="Helvetica"/>
          <w:sz w:val="22"/>
          <w:szCs w:val="22"/>
          <w:lang w:val="es-ES"/>
        </w:rPr>
        <w:t xml:space="preserve">en varios de los casos existen también quejas o recomendaciones ante la Comisión Nacional de los Derechos Humanos o comisión estatal de derechos humanos, así como notas de prensa o reportajes. Aunque </w:t>
      </w:r>
      <w:r w:rsidR="00A13B60">
        <w:rPr>
          <w:rFonts w:ascii="Helvetica" w:hAnsi="Helvetica"/>
          <w:sz w:val="22"/>
          <w:szCs w:val="22"/>
          <w:lang w:val="es-ES"/>
        </w:rPr>
        <w:lastRenderedPageBreak/>
        <w:t xml:space="preserve">las sentencias no permiten identificar la intervención de los familiares de las víctimas, </w:t>
      </w:r>
      <w:r w:rsidR="007E13E4">
        <w:rPr>
          <w:rFonts w:ascii="Helvetica" w:hAnsi="Helvetica"/>
          <w:sz w:val="22"/>
          <w:szCs w:val="22"/>
          <w:lang w:val="es-ES"/>
        </w:rPr>
        <w:t>se deja ver una gran actividad paralela a la judicial</w:t>
      </w:r>
      <w:r w:rsidR="00865043">
        <w:rPr>
          <w:rFonts w:ascii="Helvetica" w:hAnsi="Helvetica"/>
          <w:sz w:val="22"/>
          <w:szCs w:val="22"/>
          <w:lang w:val="es-ES"/>
        </w:rPr>
        <w:t>,</w:t>
      </w:r>
      <w:r w:rsidR="007E13E4">
        <w:rPr>
          <w:rFonts w:ascii="Helvetica" w:hAnsi="Helvetica"/>
          <w:sz w:val="22"/>
          <w:szCs w:val="22"/>
          <w:lang w:val="es-ES"/>
        </w:rPr>
        <w:t xml:space="preserve"> para proveer elementos a la investigación. </w:t>
      </w:r>
    </w:p>
    <w:p w14:paraId="4DB4C54A" w14:textId="26FDE3D9" w:rsidR="00662A1E" w:rsidRDefault="00662A1E" w:rsidP="00FE2EB1">
      <w:pPr>
        <w:spacing w:before="240" w:line="360" w:lineRule="auto"/>
        <w:jc w:val="both"/>
        <w:rPr>
          <w:rFonts w:ascii="Helvetica" w:hAnsi="Helvetica"/>
          <w:sz w:val="22"/>
          <w:szCs w:val="22"/>
          <w:lang w:val="es-ES"/>
        </w:rPr>
      </w:pPr>
      <w:r>
        <w:rPr>
          <w:rFonts w:ascii="Helvetica" w:hAnsi="Helvetica"/>
          <w:sz w:val="22"/>
          <w:szCs w:val="22"/>
          <w:lang w:val="es-ES"/>
        </w:rPr>
        <w:t>Respecto del segundo grupo de sentencias, aquellas que presentan un problema estructural de índole institucional, se trata de resoluciones que dejan ver una forma de operar de las instituciones de seguridad pública y fiscalías principalmente, que genera incentivos para la detención arbitraria y, en ciertos casos, la desaparición de personas.</w:t>
      </w:r>
      <w:r w:rsidR="00005283">
        <w:rPr>
          <w:rFonts w:ascii="Helvetica" w:hAnsi="Helvetica"/>
          <w:sz w:val="22"/>
          <w:szCs w:val="22"/>
          <w:lang w:val="es-ES"/>
        </w:rPr>
        <w:t xml:space="preserve"> La mayoría de las sentencias que se encuentran en este grupo son locales.</w:t>
      </w:r>
      <w:r w:rsidR="00005283">
        <w:rPr>
          <w:rStyle w:val="Refdenotaalpie"/>
          <w:rFonts w:ascii="Helvetica" w:hAnsi="Helvetica"/>
          <w:sz w:val="22"/>
          <w:szCs w:val="22"/>
          <w:lang w:val="es-ES"/>
        </w:rPr>
        <w:footnoteReference w:id="8"/>
      </w:r>
      <w:r>
        <w:rPr>
          <w:rFonts w:ascii="Helvetica" w:hAnsi="Helvetica"/>
          <w:sz w:val="22"/>
          <w:szCs w:val="22"/>
          <w:lang w:val="es-ES"/>
        </w:rPr>
        <w:t xml:space="preserve"> </w:t>
      </w:r>
      <w:r w:rsidR="00A50C78">
        <w:rPr>
          <w:rFonts w:ascii="Helvetica" w:hAnsi="Helvetica"/>
          <w:sz w:val="22"/>
          <w:szCs w:val="22"/>
          <w:lang w:val="es-ES"/>
        </w:rPr>
        <w:t>Son</w:t>
      </w:r>
      <w:r w:rsidR="00AC05D5">
        <w:rPr>
          <w:rFonts w:ascii="Helvetica" w:hAnsi="Helvetica"/>
          <w:sz w:val="22"/>
          <w:szCs w:val="22"/>
          <w:lang w:val="es-ES"/>
        </w:rPr>
        <w:t xml:space="preserve"> casos donde las víctimas </w:t>
      </w:r>
      <w:r w:rsidR="00A50C78">
        <w:rPr>
          <w:rFonts w:ascii="Helvetica" w:hAnsi="Helvetica"/>
          <w:sz w:val="22"/>
          <w:szCs w:val="22"/>
          <w:lang w:val="es-ES"/>
        </w:rPr>
        <w:t>fueron</w:t>
      </w:r>
      <w:r w:rsidR="00AC05D5">
        <w:rPr>
          <w:rFonts w:ascii="Helvetica" w:hAnsi="Helvetica"/>
          <w:sz w:val="22"/>
          <w:szCs w:val="22"/>
          <w:lang w:val="es-ES"/>
        </w:rPr>
        <w:t xml:space="preserve"> detenidas para interrogarlos pero sin que de las sentencias se desprenda </w:t>
      </w:r>
      <w:r w:rsidR="00A50C78">
        <w:rPr>
          <w:rFonts w:ascii="Helvetica" w:hAnsi="Helvetica"/>
          <w:sz w:val="22"/>
          <w:szCs w:val="22"/>
          <w:lang w:val="es-ES"/>
        </w:rPr>
        <w:t xml:space="preserve">que las autoridades tenían conocimiento o sospecha previa de las personas o siquiera </w:t>
      </w:r>
      <w:r w:rsidR="00AC05D5">
        <w:rPr>
          <w:rFonts w:ascii="Helvetica" w:hAnsi="Helvetica"/>
          <w:sz w:val="22"/>
          <w:szCs w:val="22"/>
          <w:lang w:val="es-ES"/>
        </w:rPr>
        <w:t xml:space="preserve">la búsqueda de un tipo de información específica. </w:t>
      </w:r>
      <w:r w:rsidR="003D4093">
        <w:rPr>
          <w:rFonts w:ascii="Helvetica" w:hAnsi="Helvetica"/>
          <w:sz w:val="22"/>
          <w:szCs w:val="22"/>
          <w:lang w:val="es-ES"/>
        </w:rPr>
        <w:t>Las detenciones de algunas de las personas sí se formalizan mientras que otras de las personas detenidas permanecen desaparecidas. Asimismo, algunas</w:t>
      </w:r>
      <w:r w:rsidR="00BF562E">
        <w:rPr>
          <w:rFonts w:ascii="Helvetica" w:hAnsi="Helvetica"/>
          <w:sz w:val="22"/>
          <w:szCs w:val="22"/>
          <w:lang w:val="es-ES"/>
        </w:rPr>
        <w:t xml:space="preserve"> de </w:t>
      </w:r>
      <w:r w:rsidR="00881C81">
        <w:rPr>
          <w:rFonts w:ascii="Helvetica" w:hAnsi="Helvetica"/>
          <w:sz w:val="22"/>
          <w:szCs w:val="22"/>
          <w:lang w:val="es-ES"/>
        </w:rPr>
        <w:t xml:space="preserve">las personas son liberadas unas horas después de la detención y no suelen seguirse procedimientos penales en su contra. </w:t>
      </w:r>
    </w:p>
    <w:p w14:paraId="2B019714" w14:textId="7048F628" w:rsidR="00373CE7" w:rsidRDefault="00BF562E"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Sirve para ejemplificar estos casos la sentencia de la causa penal 2831/15 de Chihuahua, en la que se analiza </w:t>
      </w:r>
      <w:r w:rsidR="003D4093">
        <w:rPr>
          <w:rFonts w:ascii="Helvetica" w:hAnsi="Helvetica"/>
          <w:sz w:val="22"/>
          <w:szCs w:val="22"/>
          <w:lang w:val="es-ES"/>
        </w:rPr>
        <w:t>la detención de dos personas la las que previamente policías municipales habrían embriagado para presentarlas ante la autoridad correspondiente. Una de las personas falleció durante la detención y su cuerpo fue abandonado, mientras que la otra persona sí fue presentada.</w:t>
      </w:r>
      <w:r w:rsidR="00373CE7">
        <w:rPr>
          <w:rFonts w:ascii="Helvetica" w:hAnsi="Helvetica"/>
          <w:sz w:val="22"/>
          <w:szCs w:val="22"/>
          <w:lang w:val="es-ES"/>
        </w:rPr>
        <w:t xml:space="preserve"> El superior jerárquico de los policías tuvo conocimiento de los hechos, pero no es imputado en el caso. Durante los testimoniales, se conoce información sobre la razón de la detención, en particular mencionan que los policías son castigados si no cumplen con la cuota de detenciones. Prácticas como esta generan incentivos perversos entre fuerzas de seguridad, pues los llevan a realizar o provocar detenciones que, por las propias condiciones ficticias de la detención, ponen en un mayor riesgo a las personas. </w:t>
      </w:r>
    </w:p>
    <w:p w14:paraId="19D3EC2E" w14:textId="7B7AC258" w:rsidR="00140AF1" w:rsidRDefault="00A50C78"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También reflejan problemas institucionales las sentencias </w:t>
      </w:r>
      <w:r w:rsidRPr="00140AF1">
        <w:rPr>
          <w:rFonts w:ascii="Helvetica" w:hAnsi="Helvetica"/>
          <w:sz w:val="22"/>
          <w:szCs w:val="22"/>
          <w:lang w:val="es-ES"/>
        </w:rPr>
        <w:t>donde la desaparición de personas constituye una consecuencia de otras prácticas como la extorsión y que reflejan distintos problemas de control</w:t>
      </w:r>
      <w:r w:rsidR="00A03C4A" w:rsidRPr="00140AF1">
        <w:rPr>
          <w:rFonts w:ascii="Helvetica" w:hAnsi="Helvetica"/>
          <w:sz w:val="22"/>
          <w:szCs w:val="22"/>
          <w:lang w:val="es-ES"/>
        </w:rPr>
        <w:t>es y rendición de cuentas al interior</w:t>
      </w:r>
      <w:r w:rsidRPr="00140AF1">
        <w:rPr>
          <w:rFonts w:ascii="Helvetica" w:hAnsi="Helvetica"/>
          <w:sz w:val="22"/>
          <w:szCs w:val="22"/>
          <w:lang w:val="es-ES"/>
        </w:rPr>
        <w:t xml:space="preserve"> de las fuerzas de seguridad</w:t>
      </w:r>
      <w:r w:rsidR="00A03C4A" w:rsidRPr="00140AF1">
        <w:rPr>
          <w:rFonts w:ascii="Helvetica" w:hAnsi="Helvetica"/>
          <w:sz w:val="22"/>
          <w:szCs w:val="22"/>
          <w:lang w:val="es-ES"/>
        </w:rPr>
        <w:t xml:space="preserve"> o de procuración de justicia.</w:t>
      </w:r>
      <w:r w:rsidR="00140AF1">
        <w:rPr>
          <w:rStyle w:val="Refdenotaalpie"/>
          <w:rFonts w:ascii="Helvetica" w:hAnsi="Helvetica"/>
          <w:sz w:val="22"/>
          <w:szCs w:val="22"/>
          <w:lang w:val="es-ES"/>
        </w:rPr>
        <w:footnoteReference w:id="9"/>
      </w:r>
      <w:r w:rsidRPr="00140AF1">
        <w:rPr>
          <w:rFonts w:ascii="Helvetica" w:hAnsi="Helvetica"/>
          <w:sz w:val="22"/>
          <w:szCs w:val="22"/>
          <w:lang w:val="es-ES"/>
        </w:rPr>
        <w:t xml:space="preserve"> </w:t>
      </w:r>
      <w:r w:rsidR="00140AF1">
        <w:rPr>
          <w:rFonts w:ascii="Helvetica" w:hAnsi="Helvetica"/>
          <w:sz w:val="22"/>
          <w:szCs w:val="22"/>
          <w:lang w:val="es-ES"/>
        </w:rPr>
        <w:t xml:space="preserve">Todas provienen del fuero federal y en su mayoría los perpetradores son policías y agentes federales de investigación. Las personas son </w:t>
      </w:r>
      <w:r w:rsidR="00140AF1">
        <w:rPr>
          <w:rFonts w:ascii="Helvetica" w:hAnsi="Helvetica"/>
          <w:sz w:val="22"/>
          <w:szCs w:val="22"/>
          <w:lang w:val="es-ES"/>
        </w:rPr>
        <w:lastRenderedPageBreak/>
        <w:t xml:space="preserve">detenidas con la amenaza de ser acusadas de algún delito y luego ocultadas durante algunas horas mientras sus familiares pagan una cantidad de dinero y después son liberadas. Las sentencias sancionan las horas del ocultamiento de la persona y en ninguna de ellas logra identificarse algún problema de incentivos institucionales, en todo caso, lo que es evidente es la ausencia de controles sobre las fuerzas de seguridad y de procuración de justicia. </w:t>
      </w:r>
    </w:p>
    <w:p w14:paraId="111B97C9" w14:textId="7AAEAA9B" w:rsidR="00A50C78" w:rsidRDefault="00A03C4A" w:rsidP="00FE2EB1">
      <w:pPr>
        <w:spacing w:before="240" w:line="360" w:lineRule="auto"/>
        <w:jc w:val="both"/>
        <w:rPr>
          <w:rFonts w:ascii="Helvetica" w:hAnsi="Helvetica"/>
          <w:sz w:val="22"/>
          <w:szCs w:val="22"/>
          <w:lang w:val="es-ES"/>
        </w:rPr>
      </w:pPr>
      <w:r w:rsidRPr="00140AF1">
        <w:rPr>
          <w:rFonts w:ascii="Helvetica" w:hAnsi="Helvetica"/>
          <w:sz w:val="22"/>
          <w:szCs w:val="22"/>
          <w:lang w:val="es-ES"/>
        </w:rPr>
        <w:t>Aunque hay incentivos personales por parte de los agentes estatales, la falta de control sobre estas conductas que terminan en la desaparición de personas, hace ver la necesidad de establecer mecanismos robustos de controles al interior de las instituciones. No</w:t>
      </w:r>
      <w:r>
        <w:rPr>
          <w:rFonts w:ascii="Helvetica" w:hAnsi="Helvetica"/>
          <w:sz w:val="22"/>
          <w:szCs w:val="22"/>
          <w:lang w:val="es-ES"/>
        </w:rPr>
        <w:t xml:space="preserve"> se trata, por tanto, de un “mal elemento” sino de un problema institucional que, en el mejor de los casos, no es atendido por la institución y, en el peor, cumple alguna función informal dentro de ella. </w:t>
      </w:r>
    </w:p>
    <w:p w14:paraId="770DA305" w14:textId="77777777" w:rsidR="00BF562E" w:rsidRDefault="00373CE7" w:rsidP="00FE2EB1">
      <w:pPr>
        <w:spacing w:before="240" w:line="360" w:lineRule="auto"/>
        <w:jc w:val="both"/>
        <w:rPr>
          <w:rFonts w:ascii="Helvetica" w:hAnsi="Helvetica"/>
          <w:sz w:val="22"/>
          <w:szCs w:val="22"/>
          <w:lang w:val="es-ES"/>
        </w:rPr>
      </w:pPr>
      <w:r>
        <w:rPr>
          <w:rFonts w:ascii="Helvetica" w:hAnsi="Helvetica"/>
          <w:sz w:val="22"/>
          <w:szCs w:val="22"/>
          <w:lang w:val="es-ES"/>
        </w:rPr>
        <w:t xml:space="preserve">Estos problemas institucionales no son reconocidos en ninguna de las sentencias estudiadas. Ello lleva a considerar la importancia de identificar los móviles de las desapariciones a fin de estar en posibilidad de atender las múltiples causas de las desapariciones que en contextos de alta violencia como la que vive México se entrecruzan y fortalecen. </w:t>
      </w:r>
      <w:r w:rsidR="00916138">
        <w:rPr>
          <w:rFonts w:ascii="Helvetica" w:hAnsi="Helvetica"/>
          <w:sz w:val="22"/>
          <w:szCs w:val="22"/>
          <w:lang w:val="es-ES"/>
        </w:rPr>
        <w:t>Conviene señalar que el conocimiento de los móviles es relevante para la identificación de los problemas estructurales y no como un elemento del tipo penal. Al igual que en el anterior grupo de sentencias, el análisis criminal de la desaparición conlleva su ubicación en el contexto al que pertenece. En sus sentencias, las autoridades judiciales están en posibilidad de hacer llamados</w:t>
      </w:r>
      <w:r w:rsidR="00176C47">
        <w:rPr>
          <w:rFonts w:ascii="Helvetica" w:hAnsi="Helvetica"/>
          <w:sz w:val="22"/>
          <w:szCs w:val="22"/>
          <w:lang w:val="es-ES"/>
        </w:rPr>
        <w:t xml:space="preserve"> respecto de hechos como el relatado anteriormente en sus sentencias. </w:t>
      </w:r>
    </w:p>
    <w:p w14:paraId="1DFD9627" w14:textId="110327C7" w:rsidR="00C43694" w:rsidRDefault="00DF62CA" w:rsidP="00C43694">
      <w:pPr>
        <w:spacing w:before="240" w:line="360" w:lineRule="auto"/>
        <w:jc w:val="both"/>
        <w:rPr>
          <w:rFonts w:ascii="Helvetica" w:hAnsi="Helvetica"/>
          <w:sz w:val="22"/>
          <w:szCs w:val="22"/>
          <w:lang w:val="es-ES"/>
        </w:rPr>
      </w:pPr>
      <w:r>
        <w:rPr>
          <w:rFonts w:ascii="Helvetica" w:hAnsi="Helvetica"/>
          <w:sz w:val="22"/>
          <w:szCs w:val="22"/>
          <w:lang w:val="es-ES"/>
        </w:rPr>
        <w:t xml:space="preserve">De acuerdo con lo anterior, las sentencias </w:t>
      </w:r>
      <w:r w:rsidR="00F5683D">
        <w:rPr>
          <w:rFonts w:ascii="Helvetica" w:hAnsi="Helvetica"/>
          <w:sz w:val="22"/>
          <w:szCs w:val="22"/>
          <w:lang w:val="es-ES"/>
        </w:rPr>
        <w:t xml:space="preserve">aportan algunos elementos sobre la complejidad de las desapariciones, pero no permiten identificar con claridad qué y por qué sucedió la desaparición, aunque se dejan </w:t>
      </w:r>
      <w:r w:rsidR="005000B4">
        <w:rPr>
          <w:rFonts w:ascii="Helvetica" w:hAnsi="Helvetica"/>
          <w:sz w:val="22"/>
          <w:szCs w:val="22"/>
          <w:lang w:val="es-ES"/>
        </w:rPr>
        <w:t xml:space="preserve">algunas </w:t>
      </w:r>
      <w:r w:rsidR="00F5683D">
        <w:rPr>
          <w:rFonts w:ascii="Helvetica" w:hAnsi="Helvetica"/>
          <w:sz w:val="22"/>
          <w:szCs w:val="22"/>
          <w:lang w:val="es-ES"/>
        </w:rPr>
        <w:t xml:space="preserve">pistas. En mucho, se trata de un problema de la investigación y la forma en que se eligen los casos para ser judicializados. Donde puede haber varios imputados se elige judicializar solo contra quien ha sido identificado físicamente por víctimas o testigos, y se dejan de lado los casos en contra de </w:t>
      </w:r>
      <w:r w:rsidR="00042CE4">
        <w:rPr>
          <w:rFonts w:ascii="Helvetica" w:hAnsi="Helvetica"/>
          <w:sz w:val="22"/>
          <w:szCs w:val="22"/>
          <w:lang w:val="es-ES"/>
        </w:rPr>
        <w:t xml:space="preserve">otros </w:t>
      </w:r>
      <w:r w:rsidR="00F5683D">
        <w:rPr>
          <w:rFonts w:ascii="Helvetica" w:hAnsi="Helvetica"/>
          <w:sz w:val="22"/>
          <w:szCs w:val="22"/>
          <w:lang w:val="es-ES"/>
        </w:rPr>
        <w:t xml:space="preserve">implicados. </w:t>
      </w:r>
      <w:r w:rsidR="00042CE4">
        <w:rPr>
          <w:rFonts w:ascii="Helvetica" w:hAnsi="Helvetica"/>
          <w:sz w:val="22"/>
          <w:szCs w:val="22"/>
          <w:lang w:val="es-ES"/>
        </w:rPr>
        <w:t xml:space="preserve">Se trata de estrategias de fragmentación que inciden en el acceso a la justicia, donde si bien existe un reconocimiento de la desaparición y la asignación de responsabilidad penal para alguno de los imputados, la familia y las víctimas no logran ver </w:t>
      </w:r>
      <w:r w:rsidR="00042CE4">
        <w:rPr>
          <w:rFonts w:ascii="Helvetica" w:hAnsi="Helvetica"/>
          <w:sz w:val="22"/>
          <w:szCs w:val="22"/>
          <w:lang w:val="es-ES"/>
        </w:rPr>
        <w:lastRenderedPageBreak/>
        <w:t xml:space="preserve">reconocido al conjunto del asunto. Finalmente, esto incide en la forma en que se construye la idea de desaparición de personas en el país, como uno aislado y de malos elementos, pero no de uno que responde a estructuras criminales </w:t>
      </w:r>
      <w:r w:rsidR="00865043">
        <w:rPr>
          <w:rFonts w:ascii="Helvetica" w:hAnsi="Helvetica"/>
          <w:sz w:val="22"/>
          <w:szCs w:val="22"/>
          <w:lang w:val="es-ES"/>
        </w:rPr>
        <w:t xml:space="preserve">o </w:t>
      </w:r>
      <w:r w:rsidR="00042CE4">
        <w:rPr>
          <w:rFonts w:ascii="Helvetica" w:hAnsi="Helvetica"/>
          <w:sz w:val="22"/>
          <w:szCs w:val="22"/>
          <w:lang w:val="es-ES"/>
        </w:rPr>
        <w:t xml:space="preserve">diseños institucionales perversos. </w:t>
      </w:r>
    </w:p>
    <w:p w14:paraId="247629A4" w14:textId="77777777" w:rsidR="00C43694" w:rsidRPr="008A2357" w:rsidRDefault="00C43694" w:rsidP="00E560FD">
      <w:pPr>
        <w:pStyle w:val="Ttulo1"/>
      </w:pPr>
      <w:bookmarkStart w:id="27" w:name="_Toc52293197"/>
      <w:commentRangeStart w:id="28"/>
      <w:r w:rsidRPr="008A2357">
        <w:t>5. La búsqueda de las personas desaparecidas y la reparación del daño</w:t>
      </w:r>
      <w:bookmarkEnd w:id="27"/>
      <w:commentRangeEnd w:id="28"/>
      <w:r w:rsidR="00317D32">
        <w:rPr>
          <w:rStyle w:val="Refdecomentario"/>
          <w:rFonts w:ascii="Times New Roman" w:hAnsi="Times New Roman"/>
          <w:b w:val="0"/>
          <w:bCs w:val="0"/>
          <w:lang w:val="es-MX"/>
        </w:rPr>
        <w:commentReference w:id="28"/>
      </w:r>
    </w:p>
    <w:p w14:paraId="64283964" w14:textId="2728EE43" w:rsidR="00C43694" w:rsidRDefault="00865043"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Además </w:t>
      </w:r>
      <w:r w:rsidR="002E2361">
        <w:rPr>
          <w:rFonts w:ascii="Helvetica" w:hAnsi="Helvetica"/>
          <w:sz w:val="22"/>
          <w:szCs w:val="22"/>
          <w:lang w:val="es-ES"/>
        </w:rPr>
        <w:t xml:space="preserve">del análisis de la responsabilidad de los acusados, las sentencias también deben hacerse cargo de impulsar la búsqueda de la persona desaparecida y de reparar el daño a las víctimas y/o sus familias. </w:t>
      </w:r>
      <w:r w:rsidR="004C7C96">
        <w:rPr>
          <w:rFonts w:ascii="Helvetica" w:hAnsi="Helvetica"/>
          <w:sz w:val="22"/>
          <w:szCs w:val="22"/>
          <w:lang w:val="es-ES"/>
        </w:rPr>
        <w:t>El proceso penal y la sentencia como su conclusión han incorporado de a poco a víctimas y familias, de una nula intervención a un</w:t>
      </w:r>
      <w:r w:rsidR="00160199">
        <w:rPr>
          <w:rFonts w:ascii="Helvetica" w:hAnsi="Helvetica"/>
          <w:sz w:val="22"/>
          <w:szCs w:val="22"/>
          <w:lang w:val="es-ES"/>
        </w:rPr>
        <w:t>a participación activa. Las sentencias, sin embargo, dejan poca constancia de dicha participació</w:t>
      </w:r>
      <w:r w:rsidR="00555D3A">
        <w:rPr>
          <w:rFonts w:ascii="Helvetica" w:hAnsi="Helvetica"/>
          <w:sz w:val="22"/>
          <w:szCs w:val="22"/>
          <w:lang w:val="es-ES"/>
        </w:rPr>
        <w:t xml:space="preserve">n. Estos dos factores, por un lado, la obligación judicial de impulsar la búsqueda y asegurar la reparación del daño y, por otro, el poco reconocimiento de la víctima y/o su familia en el proceso penal, entran en tensión en la etapa decisoria, dando como resultado que sean pocas las sentencias que se pronuncien por la búsqueda de las personas desaparecidas y que no todas ellas se hagan cargo de la reparación. </w:t>
      </w:r>
    </w:p>
    <w:p w14:paraId="734D1A67" w14:textId="6378FA85" w:rsidR="00206943" w:rsidRDefault="00206943" w:rsidP="00650D33">
      <w:pPr>
        <w:spacing w:before="240" w:line="360" w:lineRule="auto"/>
        <w:jc w:val="both"/>
        <w:rPr>
          <w:rFonts w:ascii="Helvetica" w:hAnsi="Helvetica"/>
          <w:sz w:val="22"/>
          <w:szCs w:val="22"/>
          <w:lang w:val="es-ES"/>
        </w:rPr>
      </w:pPr>
      <w:r>
        <w:rPr>
          <w:rFonts w:ascii="Helvetica" w:hAnsi="Helvetica"/>
          <w:sz w:val="22"/>
          <w:szCs w:val="22"/>
          <w:lang w:val="es-ES"/>
        </w:rPr>
        <w:t xml:space="preserve">En 16 de las sentencias analizadas, la persona fue hallada con o sin vida antes de concluir el procedimiento judicial, mientras que en 12 sentencias la persona continúa desaparecida. </w:t>
      </w:r>
      <w:r w:rsidR="00EC3510">
        <w:rPr>
          <w:rFonts w:ascii="Helvetica" w:hAnsi="Helvetica"/>
          <w:sz w:val="22"/>
          <w:szCs w:val="22"/>
          <w:lang w:val="es-ES"/>
        </w:rPr>
        <w:t>Sin considerar dos sentencias de segunda instancia que resuelven aspectos diversos, en las 10 sentencias restantes, solo en dos se ordena la búsqueda de la persona desaparecida</w:t>
      </w:r>
      <w:r w:rsidR="00650D33">
        <w:rPr>
          <w:rFonts w:ascii="Helvetica" w:hAnsi="Helvetica"/>
          <w:sz w:val="22"/>
          <w:szCs w:val="22"/>
          <w:lang w:val="es-ES"/>
        </w:rPr>
        <w:t xml:space="preserve"> (anexo 3)</w:t>
      </w:r>
      <w:r w:rsidR="00EC3510">
        <w:rPr>
          <w:rFonts w:ascii="Helvetica" w:hAnsi="Helvetica"/>
          <w:sz w:val="22"/>
          <w:szCs w:val="22"/>
          <w:lang w:val="es-ES"/>
        </w:rPr>
        <w:t>.</w:t>
      </w:r>
    </w:p>
    <w:p w14:paraId="208C9721" w14:textId="77777777" w:rsidR="00206943" w:rsidRDefault="000C5E83"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Al menos cuatro de las sentencias donde hay personas desaparecidas se emitieron con posterioridad a la Ley General, por lo que aunque el análisis del tipo penal se haya realizado de conformidad con el código penal local o federal, la autoridad judicial ya tenía la obligación de ordenar la búsqueda de personas. De entre esas cuatro sentencias, solo la 194/2017 ordena la búsqueda, aún cuando el análisis del delito se realiza de acuerdo </w:t>
      </w:r>
      <w:r w:rsidR="00C11618">
        <w:rPr>
          <w:rFonts w:ascii="Helvetica" w:hAnsi="Helvetica"/>
          <w:sz w:val="22"/>
          <w:szCs w:val="22"/>
          <w:lang w:val="es-ES"/>
        </w:rPr>
        <w:t>con el</w:t>
      </w:r>
      <w:r>
        <w:rPr>
          <w:rFonts w:ascii="Helvetica" w:hAnsi="Helvetica"/>
          <w:sz w:val="22"/>
          <w:szCs w:val="22"/>
          <w:lang w:val="es-ES"/>
        </w:rPr>
        <w:t xml:space="preserve"> Código Penal del Estado de Chihuahua. Por el contrario, las sentencias de Nuevo León y la 76/2018 </w:t>
      </w:r>
      <w:r w:rsidR="008F57A0">
        <w:rPr>
          <w:rFonts w:ascii="Helvetica" w:hAnsi="Helvetica"/>
          <w:sz w:val="22"/>
          <w:szCs w:val="22"/>
          <w:lang w:val="es-ES"/>
        </w:rPr>
        <w:t xml:space="preserve">(procedimiento abreviado) </w:t>
      </w:r>
      <w:r>
        <w:rPr>
          <w:rFonts w:ascii="Helvetica" w:hAnsi="Helvetica"/>
          <w:sz w:val="22"/>
          <w:szCs w:val="22"/>
          <w:lang w:val="es-ES"/>
        </w:rPr>
        <w:t xml:space="preserve">de Chihuahua se emiten conforme a la Ley General pero no ordenan acciones de búsqueda. Así, el tipo penal que sirve de base para el análisis de la responsabilidad del imputado no puede ser considerado como un argumento para no ordenar acciones de búsqueda. </w:t>
      </w:r>
    </w:p>
    <w:p w14:paraId="4C8E86C2" w14:textId="77777777" w:rsidR="000C5E83" w:rsidRDefault="00AE6A0E" w:rsidP="008A2357">
      <w:pPr>
        <w:spacing w:before="240" w:line="360" w:lineRule="auto"/>
        <w:jc w:val="both"/>
        <w:rPr>
          <w:rFonts w:ascii="Helvetica" w:hAnsi="Helvetica"/>
          <w:sz w:val="22"/>
          <w:szCs w:val="22"/>
          <w:lang w:val="es-ES_tradnl"/>
        </w:rPr>
      </w:pPr>
      <w:r>
        <w:rPr>
          <w:rFonts w:ascii="Helvetica" w:hAnsi="Helvetica"/>
          <w:sz w:val="22"/>
          <w:szCs w:val="22"/>
          <w:lang w:val="es-ES"/>
        </w:rPr>
        <w:lastRenderedPageBreak/>
        <w:t>En la</w:t>
      </w:r>
      <w:r w:rsidR="00894596">
        <w:rPr>
          <w:rFonts w:ascii="Helvetica" w:hAnsi="Helvetica"/>
          <w:sz w:val="22"/>
          <w:szCs w:val="22"/>
          <w:lang w:val="es-ES"/>
        </w:rPr>
        <w:t xml:space="preserve"> sentencia 194/2917 referida en el párrafo anterior</w:t>
      </w:r>
      <w:r w:rsidR="00DD5D20">
        <w:rPr>
          <w:rFonts w:ascii="Helvetica" w:hAnsi="Helvetica"/>
          <w:sz w:val="22"/>
          <w:szCs w:val="22"/>
          <w:lang w:val="es-ES"/>
        </w:rPr>
        <w:t xml:space="preserve">, la autoridad judicial da cuenta de los esfuerzos de la familia de las víctimas para encontrarlos desde su detención, por lo que ordena como medida de reparación que se continúe con la búsqueda de las personas desaparecidas. Lo anterior, a partir de lo establecido en criterios interamericanos como el caso </w:t>
      </w:r>
      <w:r w:rsidR="00B36E86">
        <w:rPr>
          <w:rFonts w:ascii="Helvetica" w:hAnsi="Helvetica"/>
          <w:sz w:val="22"/>
          <w:szCs w:val="22"/>
          <w:lang w:val="es-ES"/>
        </w:rPr>
        <w:t xml:space="preserve">Alvarado </w:t>
      </w:r>
      <w:r w:rsidR="00B36E86" w:rsidRPr="00B36E86">
        <w:rPr>
          <w:rFonts w:ascii="Helvetica" w:hAnsi="Helvetica"/>
          <w:sz w:val="22"/>
          <w:szCs w:val="22"/>
          <w:lang w:val="es-ES_tradnl"/>
        </w:rPr>
        <w:t>Espinoza</w:t>
      </w:r>
      <w:r w:rsidR="00702193">
        <w:rPr>
          <w:rFonts w:ascii="Helvetica" w:hAnsi="Helvetica"/>
          <w:sz w:val="22"/>
          <w:szCs w:val="22"/>
          <w:lang w:val="es-ES_tradnl"/>
        </w:rPr>
        <w:t xml:space="preserve"> (2018)</w:t>
      </w:r>
      <w:r w:rsidR="00B36E86" w:rsidRPr="00B36E86">
        <w:rPr>
          <w:rFonts w:ascii="Helvetica" w:hAnsi="Helvetica"/>
          <w:sz w:val="22"/>
          <w:szCs w:val="22"/>
          <w:lang w:val="es-ES_tradnl"/>
        </w:rPr>
        <w:t xml:space="preserve"> y Radilla Pacheco</w:t>
      </w:r>
      <w:r w:rsidR="00702193">
        <w:rPr>
          <w:rFonts w:ascii="Helvetica" w:hAnsi="Helvetica"/>
          <w:sz w:val="22"/>
          <w:szCs w:val="22"/>
          <w:lang w:val="es-ES_tradnl"/>
        </w:rPr>
        <w:t xml:space="preserve"> (2009)</w:t>
      </w:r>
      <w:r w:rsidR="00B36E86">
        <w:rPr>
          <w:rFonts w:ascii="Helvetica" w:hAnsi="Helvetica"/>
          <w:sz w:val="22"/>
          <w:szCs w:val="22"/>
          <w:lang w:val="es-ES_tradnl"/>
        </w:rPr>
        <w:t xml:space="preserve">, ambos en contra del Estado mexicano. </w:t>
      </w:r>
    </w:p>
    <w:p w14:paraId="12D49C0B" w14:textId="0279DF28" w:rsidR="00B162A7" w:rsidRDefault="00650D33" w:rsidP="008A2357">
      <w:pPr>
        <w:spacing w:before="240" w:line="360" w:lineRule="auto"/>
        <w:jc w:val="both"/>
        <w:rPr>
          <w:rFonts w:ascii="Helvetica" w:hAnsi="Helvetica"/>
          <w:sz w:val="22"/>
          <w:szCs w:val="22"/>
          <w:lang w:val="es-ES_tradnl"/>
        </w:rPr>
      </w:pPr>
      <w:r>
        <w:rPr>
          <w:rFonts w:ascii="Helvetica" w:hAnsi="Helvetica"/>
          <w:sz w:val="22"/>
          <w:szCs w:val="22"/>
          <w:lang w:val="es-ES_tradnl"/>
        </w:rPr>
        <w:t>Ello</w:t>
      </w:r>
      <w:r w:rsidR="00B162A7">
        <w:rPr>
          <w:rFonts w:ascii="Helvetica" w:hAnsi="Helvetica"/>
          <w:sz w:val="22"/>
          <w:szCs w:val="22"/>
          <w:lang w:val="es-ES_tradnl"/>
        </w:rPr>
        <w:t xml:space="preserve"> hace evidente la importancia de los esfuerzos de las familias de víctimas de desaparición en la búsqueda para visibilizar las consecuencias que conlleva dicha violación grave a los derechos humanos, así como la necesidad de difundir las obligaciones de las autoridades judiciales al abordar este tipo de asuntos. </w:t>
      </w:r>
    </w:p>
    <w:p w14:paraId="01730421" w14:textId="691A5E23" w:rsidR="00B162A7" w:rsidRDefault="00B162A7" w:rsidP="008A2357">
      <w:pPr>
        <w:spacing w:before="240" w:line="360" w:lineRule="auto"/>
        <w:jc w:val="both"/>
        <w:rPr>
          <w:rFonts w:ascii="Helvetica" w:hAnsi="Helvetica"/>
          <w:sz w:val="22"/>
          <w:szCs w:val="22"/>
          <w:lang w:val="es-ES_tradnl"/>
        </w:rPr>
      </w:pPr>
      <w:r>
        <w:rPr>
          <w:rFonts w:ascii="Helvetica" w:hAnsi="Helvetica"/>
          <w:sz w:val="22"/>
          <w:szCs w:val="22"/>
          <w:lang w:val="es-ES_tradnl"/>
        </w:rPr>
        <w:t>Por otra parte, el que en 16 de las 28 sentencias la persona víctima de desaparición hubiera sido hallada con o sin vida antes de la resolución, también abre la necesidad de profundizar en la investigación de los procesos decisorios que llevan a la judicialización de los casos. En principio, donde la víctima ha sido encontrada, podría suceder que las autoridades ministeriales cuenten con mayores elementos de prueb</w:t>
      </w:r>
      <w:r w:rsidR="0010027F">
        <w:rPr>
          <w:rFonts w:ascii="Helvetica" w:hAnsi="Helvetica"/>
          <w:sz w:val="22"/>
          <w:szCs w:val="22"/>
          <w:lang w:val="es-ES_tradnl"/>
        </w:rPr>
        <w:t>a</w:t>
      </w:r>
      <w:r>
        <w:rPr>
          <w:rFonts w:ascii="Helvetica" w:hAnsi="Helvetica"/>
          <w:sz w:val="22"/>
          <w:szCs w:val="22"/>
          <w:lang w:val="es-ES_tradnl"/>
        </w:rPr>
        <w:t xml:space="preserve"> y/o que las familias y las propias víctimas encuentren un mayor impulso por perseguir la justicia</w:t>
      </w:r>
      <w:r w:rsidR="001D6992">
        <w:rPr>
          <w:rFonts w:ascii="Helvetica" w:hAnsi="Helvetica"/>
          <w:sz w:val="22"/>
          <w:szCs w:val="22"/>
          <w:lang w:val="es-ES_tradnl"/>
        </w:rPr>
        <w:t xml:space="preserve"> pues la búsqueda ya no es necesaria. </w:t>
      </w:r>
    </w:p>
    <w:p w14:paraId="347206F5" w14:textId="77777777" w:rsidR="001D6992" w:rsidRDefault="001D6992" w:rsidP="008A2357">
      <w:pPr>
        <w:spacing w:before="240" w:line="360" w:lineRule="auto"/>
        <w:jc w:val="both"/>
        <w:rPr>
          <w:rFonts w:ascii="Helvetica" w:hAnsi="Helvetica"/>
          <w:sz w:val="22"/>
          <w:szCs w:val="22"/>
          <w:lang w:val="es-ES_tradnl"/>
        </w:rPr>
      </w:pPr>
      <w:r>
        <w:rPr>
          <w:rFonts w:ascii="Helvetica" w:hAnsi="Helvetica"/>
          <w:sz w:val="22"/>
          <w:szCs w:val="22"/>
          <w:lang w:val="es-ES_tradnl"/>
        </w:rPr>
        <w:t xml:space="preserve">En materia de reparación el panorama es </w:t>
      </w:r>
      <w:r w:rsidR="00DA7954">
        <w:rPr>
          <w:rFonts w:ascii="Helvetica" w:hAnsi="Helvetica"/>
          <w:sz w:val="22"/>
          <w:szCs w:val="22"/>
          <w:lang w:val="es-ES_tradnl"/>
        </w:rPr>
        <w:t>similar a</w:t>
      </w:r>
      <w:r>
        <w:rPr>
          <w:rFonts w:ascii="Helvetica" w:hAnsi="Helvetica"/>
          <w:sz w:val="22"/>
          <w:szCs w:val="22"/>
          <w:lang w:val="es-ES_tradnl"/>
        </w:rPr>
        <w:t xml:space="preserve"> la búsqueda</w:t>
      </w:r>
      <w:r w:rsidR="006F2E74">
        <w:rPr>
          <w:rFonts w:ascii="Helvetica" w:hAnsi="Helvetica"/>
          <w:sz w:val="22"/>
          <w:szCs w:val="22"/>
          <w:lang w:val="es-ES_tradnl"/>
        </w:rPr>
        <w:t xml:space="preserve">, aunque con grandes diferencias respecto de lo que las autoridades consideran reparación. Mientras que </w:t>
      </w:r>
      <w:r w:rsidR="00DA7954">
        <w:rPr>
          <w:rFonts w:ascii="Helvetica" w:hAnsi="Helvetica"/>
          <w:sz w:val="22"/>
          <w:szCs w:val="22"/>
          <w:lang w:val="es-ES_tradnl"/>
        </w:rPr>
        <w:t xml:space="preserve">la mayoría de las sentencias se limita a requerir una reparación material, hay otras que establecen reparaciones integrales. De las 28 sentencias analizadas hay 10 donde se solicita reparación, 6 donde la reparación no era aplicable porque se declararon absueltos a los imputados o se trata de sentencias de segunda instancia que no decidieron sobre la culpabilidad, y 12 donde no se estableció reparación del daño alguna. </w:t>
      </w:r>
    </w:p>
    <w:p w14:paraId="1581BBDA" w14:textId="77777777" w:rsidR="004D6E12" w:rsidRDefault="002A2A4E" w:rsidP="008A2357">
      <w:pPr>
        <w:spacing w:before="240" w:line="360" w:lineRule="auto"/>
        <w:jc w:val="both"/>
        <w:rPr>
          <w:rFonts w:ascii="Helvetica" w:hAnsi="Helvetica"/>
          <w:sz w:val="22"/>
          <w:szCs w:val="22"/>
          <w:lang w:val="es-ES_tradnl"/>
        </w:rPr>
      </w:pPr>
      <w:r>
        <w:rPr>
          <w:rFonts w:ascii="Helvetica" w:hAnsi="Helvetica"/>
          <w:sz w:val="22"/>
          <w:szCs w:val="22"/>
          <w:lang w:val="es-ES_tradnl"/>
        </w:rPr>
        <w:t>Las sentencias que no establecen reparación del daño son, en su enorme mayoría, las emitidas en el fuero federal</w:t>
      </w:r>
      <w:r w:rsidR="004D6E12">
        <w:rPr>
          <w:rFonts w:ascii="Helvetica" w:hAnsi="Helvetica"/>
          <w:sz w:val="22"/>
          <w:szCs w:val="22"/>
          <w:lang w:val="es-ES_tradnl"/>
        </w:rPr>
        <w:t>, siendo solo 2 del ámbito local que no requieren reparación del daño. De estas últimas una sentencia se desprende de procedimiento abreviado y si bien éste tiene características específicas, ello no debe implicar el menoscabo de los derechos de la víctima a la reparación del daño (</w:t>
      </w:r>
      <w:r w:rsidR="004D6E12">
        <w:rPr>
          <w:rFonts w:ascii="Helvetica" w:hAnsi="Helvetica"/>
          <w:sz w:val="22"/>
          <w:szCs w:val="22"/>
          <w:lang w:val="es-ES"/>
        </w:rPr>
        <w:t xml:space="preserve">76/2018 del estado de Chihuahua). Mientras que en </w:t>
      </w:r>
      <w:r w:rsidR="004D6E12">
        <w:rPr>
          <w:rFonts w:ascii="Helvetica" w:hAnsi="Helvetica"/>
          <w:sz w:val="22"/>
          <w:szCs w:val="22"/>
          <w:lang w:val="es-ES"/>
        </w:rPr>
        <w:lastRenderedPageBreak/>
        <w:t xml:space="preserve">la segunda la fiscalía señala que la propia víctima daba por “reparado el pago de dicha prestación” en la medida que había sido liberada (110/2018 de Veracruz). </w:t>
      </w:r>
    </w:p>
    <w:p w14:paraId="2D1046D1" w14:textId="77777777" w:rsidR="008F57A0" w:rsidRDefault="004D6E12" w:rsidP="008A2357">
      <w:pPr>
        <w:spacing w:before="240" w:line="360" w:lineRule="auto"/>
        <w:jc w:val="both"/>
        <w:rPr>
          <w:rFonts w:ascii="Helvetica" w:hAnsi="Helvetica"/>
          <w:sz w:val="22"/>
          <w:szCs w:val="22"/>
          <w:lang w:val="es-ES_tradnl"/>
        </w:rPr>
      </w:pPr>
      <w:r>
        <w:rPr>
          <w:rFonts w:ascii="Helvetica" w:hAnsi="Helvetica"/>
          <w:sz w:val="22"/>
          <w:szCs w:val="22"/>
          <w:lang w:val="es-ES_tradnl"/>
        </w:rPr>
        <w:t xml:space="preserve">En general, las sentencias del ámbito federal que no requieren reparación (10) no establecen las razones de dicha decisión, sin embargo, en algunas de ellas se señalan lo siguientes argumentos: </w:t>
      </w:r>
    </w:p>
    <w:p w14:paraId="64798CFD" w14:textId="77777777" w:rsidR="004D6E12" w:rsidRDefault="004D6E12" w:rsidP="004D6E12">
      <w:pPr>
        <w:pStyle w:val="Prrafodelista"/>
        <w:numPr>
          <w:ilvl w:val="0"/>
          <w:numId w:val="1"/>
        </w:numPr>
        <w:spacing w:before="240" w:line="360" w:lineRule="auto"/>
        <w:jc w:val="both"/>
        <w:rPr>
          <w:rFonts w:ascii="Helvetica" w:hAnsi="Helvetica"/>
          <w:sz w:val="22"/>
          <w:szCs w:val="22"/>
          <w:lang w:val="es-ES"/>
        </w:rPr>
      </w:pPr>
      <w:r>
        <w:rPr>
          <w:rFonts w:ascii="Helvetica" w:hAnsi="Helvetica"/>
          <w:sz w:val="22"/>
          <w:szCs w:val="22"/>
          <w:lang w:val="es-ES"/>
        </w:rPr>
        <w:t xml:space="preserve">La reparación corresponde a la ejecución de la sentencia, por lo que deberá acordarla el juez correspondiente (41/2013-1 y </w:t>
      </w:r>
      <w:r w:rsidRPr="00532B00">
        <w:rPr>
          <w:rFonts w:ascii="Helvetica" w:hAnsi="Helvetica"/>
          <w:sz w:val="22"/>
          <w:szCs w:val="22"/>
          <w:lang w:val="es-ES"/>
        </w:rPr>
        <w:t>101/2013-IV</w:t>
      </w:r>
      <w:r>
        <w:rPr>
          <w:rFonts w:ascii="Helvetica" w:hAnsi="Helvetica"/>
          <w:sz w:val="22"/>
          <w:szCs w:val="22"/>
          <w:lang w:val="es-ES"/>
        </w:rPr>
        <w:t>)</w:t>
      </w:r>
    </w:p>
    <w:p w14:paraId="2622ABED" w14:textId="77777777" w:rsidR="004D6E12" w:rsidRDefault="004D6E12" w:rsidP="004D6E12">
      <w:pPr>
        <w:pStyle w:val="Prrafodelista"/>
        <w:numPr>
          <w:ilvl w:val="0"/>
          <w:numId w:val="1"/>
        </w:numPr>
        <w:spacing w:before="240" w:line="360" w:lineRule="auto"/>
        <w:jc w:val="both"/>
        <w:rPr>
          <w:rFonts w:ascii="Helvetica" w:hAnsi="Helvetica"/>
          <w:sz w:val="22"/>
          <w:szCs w:val="22"/>
          <w:lang w:val="es-ES"/>
        </w:rPr>
      </w:pPr>
      <w:r>
        <w:rPr>
          <w:rFonts w:ascii="Helvetica" w:hAnsi="Helvetica"/>
          <w:sz w:val="22"/>
          <w:szCs w:val="22"/>
          <w:lang w:val="es-ES"/>
        </w:rPr>
        <w:t>No procede concederla porque el tipo penal no la prevé, pero se dejan a salvo los derechos para ser ejercidos ante la Comisión Ejecutiva de Atención a Víctimas (</w:t>
      </w:r>
      <w:r w:rsidRPr="00532B00">
        <w:rPr>
          <w:rFonts w:ascii="Helvetica" w:hAnsi="Helvetica"/>
          <w:sz w:val="22"/>
          <w:szCs w:val="22"/>
          <w:lang w:val="es-ES"/>
        </w:rPr>
        <w:t>255/13 y acumulada 263/2013-III</w:t>
      </w:r>
      <w:r>
        <w:rPr>
          <w:rFonts w:ascii="Helvetica" w:hAnsi="Helvetica"/>
          <w:sz w:val="22"/>
          <w:szCs w:val="22"/>
          <w:lang w:val="es-ES"/>
        </w:rPr>
        <w:t>)</w:t>
      </w:r>
    </w:p>
    <w:p w14:paraId="1B2A755F" w14:textId="77777777" w:rsidR="004D6E12" w:rsidRPr="004D6E12" w:rsidRDefault="004D6E12" w:rsidP="004D6E12">
      <w:pPr>
        <w:pStyle w:val="Prrafodelista"/>
        <w:numPr>
          <w:ilvl w:val="0"/>
          <w:numId w:val="1"/>
        </w:numPr>
        <w:spacing w:before="240" w:line="360" w:lineRule="auto"/>
        <w:jc w:val="both"/>
        <w:rPr>
          <w:rFonts w:ascii="Helvetica" w:hAnsi="Helvetica"/>
          <w:sz w:val="22"/>
          <w:szCs w:val="22"/>
          <w:lang w:val="es-ES"/>
        </w:rPr>
      </w:pPr>
      <w:r>
        <w:rPr>
          <w:rFonts w:ascii="Helvetica" w:hAnsi="Helvetica"/>
          <w:sz w:val="22"/>
          <w:szCs w:val="22"/>
          <w:lang w:val="es-ES"/>
        </w:rPr>
        <w:t>No procede porque existió restitución (II-72/2005</w:t>
      </w:r>
      <w:r w:rsidR="00337379">
        <w:rPr>
          <w:rFonts w:ascii="Helvetica" w:hAnsi="Helvetica"/>
          <w:sz w:val="22"/>
          <w:szCs w:val="22"/>
          <w:lang w:val="es-ES"/>
        </w:rPr>
        <w:t>)</w:t>
      </w:r>
    </w:p>
    <w:p w14:paraId="46E581EC" w14:textId="77777777" w:rsidR="00FC51DE" w:rsidRDefault="001F79C2" w:rsidP="00337379">
      <w:pPr>
        <w:spacing w:before="240" w:line="360" w:lineRule="auto"/>
        <w:jc w:val="both"/>
        <w:rPr>
          <w:rFonts w:ascii="Helvetica" w:hAnsi="Helvetica"/>
          <w:sz w:val="22"/>
          <w:szCs w:val="22"/>
          <w:lang w:val="es-ES"/>
        </w:rPr>
      </w:pPr>
      <w:r>
        <w:rPr>
          <w:rFonts w:ascii="Helvetica" w:hAnsi="Helvetica"/>
          <w:sz w:val="22"/>
          <w:szCs w:val="22"/>
          <w:lang w:val="es-ES"/>
        </w:rPr>
        <w:t xml:space="preserve"> </w:t>
      </w:r>
      <w:r w:rsidR="00337379">
        <w:rPr>
          <w:rFonts w:ascii="Helvetica" w:hAnsi="Helvetica"/>
          <w:sz w:val="22"/>
          <w:szCs w:val="22"/>
          <w:lang w:val="es-ES"/>
        </w:rPr>
        <w:t xml:space="preserve">De manera particular llama la atención la sentencia de la causa penal federal 19/2013 del </w:t>
      </w:r>
      <w:r w:rsidR="00FC51DE" w:rsidRPr="00FC51DE">
        <w:rPr>
          <w:rFonts w:ascii="Helvetica" w:hAnsi="Helvetica"/>
          <w:sz w:val="22"/>
          <w:szCs w:val="22"/>
          <w:lang w:val="es-ES"/>
        </w:rPr>
        <w:t>Juzgado Decimocuarto de Distrito en el Estado de Veracruz</w:t>
      </w:r>
      <w:r w:rsidR="00337379">
        <w:rPr>
          <w:rFonts w:ascii="Helvetica" w:hAnsi="Helvetica"/>
          <w:sz w:val="22"/>
          <w:szCs w:val="22"/>
          <w:lang w:val="es-ES"/>
        </w:rPr>
        <w:t xml:space="preserve">, de abril de 2017, donde la autoridad judicial señala respecto de la reparación lo siguiente: </w:t>
      </w:r>
    </w:p>
    <w:p w14:paraId="6DB60E5A" w14:textId="77777777" w:rsidR="00FC51DE" w:rsidRPr="00FC51DE" w:rsidRDefault="00FC51DE" w:rsidP="00337379">
      <w:pPr>
        <w:spacing w:before="240" w:line="276" w:lineRule="auto"/>
        <w:ind w:left="708"/>
        <w:jc w:val="both"/>
        <w:rPr>
          <w:rFonts w:ascii="Helvetica" w:hAnsi="Helvetica"/>
          <w:sz w:val="21"/>
          <w:szCs w:val="21"/>
        </w:rPr>
      </w:pPr>
      <w:r w:rsidRPr="00C363F7">
        <w:rPr>
          <w:rFonts w:ascii="Helvetica" w:hAnsi="Helvetica"/>
          <w:bCs/>
          <w:sz w:val="21"/>
          <w:szCs w:val="21"/>
        </w:rPr>
        <w:t>NOVENO.-</w:t>
      </w:r>
      <w:r w:rsidRPr="00FC51DE">
        <w:rPr>
          <w:rFonts w:ascii="Helvetica" w:hAnsi="Helvetica"/>
          <w:b/>
          <w:sz w:val="21"/>
          <w:szCs w:val="21"/>
        </w:rPr>
        <w:t xml:space="preserve"> </w:t>
      </w:r>
      <w:r w:rsidRPr="00FC51DE">
        <w:rPr>
          <w:rFonts w:ascii="Helvetica" w:hAnsi="Helvetica"/>
          <w:sz w:val="21"/>
          <w:szCs w:val="21"/>
        </w:rPr>
        <w:t>En otro orden de ideas, conviene precisar que no ha lugar a condenar al sentenciado al pago de la reparación del daño, pues el efecto de éste es la restitución de la cosa obtenida por el acusado con motivo del ilícito por el que resultó responsable, en el caso concreto, el sentenciado cometió el delito</w:t>
      </w:r>
      <w:r w:rsidRPr="00FC51DE">
        <w:rPr>
          <w:rFonts w:ascii="Helvetica" w:hAnsi="Helvetica"/>
          <w:b/>
          <w:bCs/>
          <w:sz w:val="21"/>
          <w:szCs w:val="21"/>
        </w:rPr>
        <w:t xml:space="preserve"> </w:t>
      </w:r>
      <w:r w:rsidRPr="00FC51DE">
        <w:rPr>
          <w:rFonts w:ascii="Helvetica" w:hAnsi="Helvetica"/>
          <w:bCs/>
          <w:sz w:val="21"/>
          <w:szCs w:val="21"/>
        </w:rPr>
        <w:t>a estudio,</w:t>
      </w:r>
      <w:r w:rsidRPr="00FC51DE">
        <w:rPr>
          <w:rFonts w:ascii="Helvetica" w:hAnsi="Helvetica"/>
          <w:b/>
          <w:bCs/>
          <w:sz w:val="21"/>
          <w:szCs w:val="21"/>
        </w:rPr>
        <w:t xml:space="preserve"> </w:t>
      </w:r>
      <w:r w:rsidRPr="00FC51DE">
        <w:rPr>
          <w:rFonts w:ascii="Helvetica" w:hAnsi="Helvetica"/>
          <w:sz w:val="21"/>
          <w:szCs w:val="21"/>
        </w:rPr>
        <w:t>sin que se haya demostrado que con esa conducta haya causado un perjuicio a un tercero (********** del sujeto pasivo desaparecido), para que éste en su caso obtenga una indemnización por dicho perjuicio, por lo que no resulta atendible tal supuesto de reparación.</w:t>
      </w:r>
    </w:p>
    <w:p w14:paraId="7C5187CE" w14:textId="77777777" w:rsidR="00FC51DE" w:rsidRPr="00FC51DE" w:rsidRDefault="00FC51DE" w:rsidP="00337379">
      <w:pPr>
        <w:spacing w:before="240" w:line="276" w:lineRule="auto"/>
        <w:ind w:left="708"/>
        <w:jc w:val="both"/>
        <w:rPr>
          <w:rFonts w:ascii="Helvetica" w:hAnsi="Helvetica"/>
          <w:sz w:val="21"/>
          <w:szCs w:val="21"/>
        </w:rPr>
      </w:pPr>
      <w:r w:rsidRPr="00FC51DE">
        <w:rPr>
          <w:rFonts w:ascii="Helvetica" w:hAnsi="Helvetica"/>
          <w:sz w:val="21"/>
          <w:szCs w:val="21"/>
        </w:rPr>
        <w:tab/>
        <w:t>Por lo que tampoco procede la indemnización del daño material, moral, ni el resarcimiento de los perjuicios ocasionados, ya que de las constancias que integran este sumario, hasta este momento no se encuentra demostrado con prueba alguna que un tercero o los familiares hubieren resentido un daño material, moral, ni el resarcimiento de perjuicios ocasionados, con la conducta realizada por el sentenciado, pues omitieron ofrecer pruebas al respecto.</w:t>
      </w:r>
    </w:p>
    <w:p w14:paraId="5ED3E671" w14:textId="77777777" w:rsidR="00FC51DE" w:rsidRDefault="0066244F" w:rsidP="008A2357">
      <w:pPr>
        <w:spacing w:before="240" w:line="360" w:lineRule="auto"/>
        <w:jc w:val="both"/>
        <w:rPr>
          <w:rFonts w:ascii="Helvetica" w:hAnsi="Helvetica"/>
          <w:sz w:val="22"/>
          <w:szCs w:val="22"/>
        </w:rPr>
      </w:pPr>
      <w:r>
        <w:rPr>
          <w:rFonts w:ascii="Helvetica" w:hAnsi="Helvetica"/>
          <w:sz w:val="22"/>
          <w:szCs w:val="22"/>
        </w:rPr>
        <w:t xml:space="preserve">Las sentencias anteriores y esta última dejan en evidencia la falta comprensión sobre el alcance de la reparación del daño, en lo general y en particular respecto de la desaparición forzada de personas. En especial porque muchas de ellas ya fueron emitidas con posterioridad a la reforma constitucional en materia de derechos humanos de 2011 que establece el deber de reparación en el artículo primero y a la Ley General de Víctimas (2013). </w:t>
      </w:r>
    </w:p>
    <w:p w14:paraId="023C5997" w14:textId="339A4F0A" w:rsidR="00D02FB3" w:rsidRPr="00FC51DE" w:rsidRDefault="00D02FB3" w:rsidP="008A2357">
      <w:pPr>
        <w:spacing w:before="240" w:line="360" w:lineRule="auto"/>
        <w:jc w:val="both"/>
        <w:rPr>
          <w:rFonts w:ascii="Helvetica" w:hAnsi="Helvetica"/>
          <w:sz w:val="22"/>
          <w:szCs w:val="22"/>
        </w:rPr>
      </w:pPr>
      <w:r>
        <w:rPr>
          <w:rFonts w:ascii="Helvetica" w:hAnsi="Helvetica"/>
          <w:sz w:val="22"/>
          <w:szCs w:val="22"/>
        </w:rPr>
        <w:lastRenderedPageBreak/>
        <w:t>Por lo que hace a las sentencias donde sí se requiere reparación del daño</w:t>
      </w:r>
      <w:r w:rsidR="00FE242A">
        <w:rPr>
          <w:rFonts w:ascii="Helvetica" w:hAnsi="Helvetica"/>
          <w:sz w:val="22"/>
          <w:szCs w:val="22"/>
        </w:rPr>
        <w:t xml:space="preserve">, la mayoría se limita a aceptar el cálculo económico propuesto por la fiscalía del caso, pero hay agunas sentencias que incorporan los estándares de los criterios interamericanos </w:t>
      </w:r>
      <w:r w:rsidR="00A41A6D">
        <w:rPr>
          <w:rFonts w:ascii="Helvetica" w:hAnsi="Helvetica"/>
          <w:sz w:val="22"/>
          <w:szCs w:val="22"/>
        </w:rPr>
        <w:t>en la materia e incluso reconocen el sufrimiento de las familias como una violación a sus derechos adicional que también debe ser reparado (por ejemplo, las causas penales del estado de Chihuahua 554/11</w:t>
      </w:r>
      <w:r w:rsidR="00FB27AA">
        <w:rPr>
          <w:rFonts w:ascii="Helvetica" w:hAnsi="Helvetica"/>
          <w:sz w:val="22"/>
          <w:szCs w:val="22"/>
        </w:rPr>
        <w:t>,</w:t>
      </w:r>
      <w:r w:rsidR="00A41A6D">
        <w:rPr>
          <w:rFonts w:ascii="Helvetica" w:hAnsi="Helvetica"/>
          <w:sz w:val="22"/>
          <w:szCs w:val="22"/>
        </w:rPr>
        <w:t xml:space="preserve"> 493/2012</w:t>
      </w:r>
      <w:r w:rsidR="00FB27AA">
        <w:rPr>
          <w:rFonts w:ascii="Helvetica" w:hAnsi="Helvetica"/>
          <w:sz w:val="22"/>
          <w:szCs w:val="22"/>
        </w:rPr>
        <w:t xml:space="preserve"> y 194/2017</w:t>
      </w:r>
      <w:r w:rsidR="00A41A6D">
        <w:rPr>
          <w:rFonts w:ascii="Helvetica" w:hAnsi="Helvetica"/>
          <w:sz w:val="22"/>
          <w:szCs w:val="22"/>
        </w:rPr>
        <w:t xml:space="preserve">). Resalta la sentencia 20/2005-I del </w:t>
      </w:r>
      <w:r w:rsidR="00A41A6D" w:rsidRPr="00A41A6D">
        <w:rPr>
          <w:rFonts w:ascii="Helvetica" w:hAnsi="Helvetica"/>
          <w:sz w:val="22"/>
          <w:szCs w:val="22"/>
        </w:rPr>
        <w:t>Juzgado Primero de Distrito en Procesos Penales</w:t>
      </w:r>
      <w:r w:rsidR="00A41A6D">
        <w:rPr>
          <w:rFonts w:ascii="Helvetica" w:hAnsi="Helvetica"/>
          <w:sz w:val="22"/>
          <w:szCs w:val="22"/>
        </w:rPr>
        <w:t xml:space="preserve"> en la Ciudad de México, pues a pesar de haber sido emitida en 2010 incorpora todo el acervo jurisprudencia internacional en materia de reparación integral del daño, incluso </w:t>
      </w:r>
      <w:r w:rsidR="003A725A">
        <w:rPr>
          <w:rFonts w:ascii="Helvetica" w:hAnsi="Helvetica"/>
          <w:sz w:val="22"/>
          <w:szCs w:val="22"/>
        </w:rPr>
        <w:t>identifica a la Secretaría de la Defensa Nacional como responsable solidario y le ordena hacer un reconocimiento de los hechos, así como hacer público un extracto de la propia sentencia.</w:t>
      </w:r>
      <w:r w:rsidR="006D10C4">
        <w:rPr>
          <w:rStyle w:val="Refdenotaalpie"/>
          <w:rFonts w:ascii="Helvetica" w:hAnsi="Helvetica"/>
          <w:sz w:val="22"/>
          <w:szCs w:val="22"/>
        </w:rPr>
        <w:footnoteReference w:id="10"/>
      </w:r>
      <w:r w:rsidR="003A725A">
        <w:rPr>
          <w:rFonts w:ascii="Helvetica" w:hAnsi="Helvetica"/>
          <w:sz w:val="22"/>
          <w:szCs w:val="22"/>
        </w:rPr>
        <w:t xml:space="preserve"> </w:t>
      </w:r>
    </w:p>
    <w:p w14:paraId="6045B5D8" w14:textId="1872A01B" w:rsidR="00532B00" w:rsidRDefault="00747843"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En materia de reparación y búsqueda también se encuentran grandes retos para las instituciones de justicia. De nueva cuenta, la justicia local va un paso hacia delante con respecto a la justicia federal, en este caso, en la protección de los derechos de las víctimas. </w:t>
      </w:r>
    </w:p>
    <w:p w14:paraId="515D93CD" w14:textId="77777777" w:rsidR="00650D33" w:rsidRDefault="00650D33" w:rsidP="00650D33">
      <w:pPr>
        <w:spacing w:before="240" w:line="360" w:lineRule="auto"/>
        <w:jc w:val="both"/>
        <w:rPr>
          <w:rFonts w:ascii="Helvetica" w:hAnsi="Helvetica"/>
          <w:sz w:val="22"/>
          <w:szCs w:val="22"/>
          <w:lang w:val="es-ES_tradnl"/>
        </w:rPr>
      </w:pPr>
      <w:r>
        <w:rPr>
          <w:rFonts w:ascii="Helvetica" w:hAnsi="Helvetica"/>
          <w:sz w:val="22"/>
          <w:szCs w:val="22"/>
          <w:lang w:val="es-ES_tradnl"/>
        </w:rPr>
        <w:t xml:space="preserve">El acceso a la justicia solo está completo cuando la investigación también incluye la búsqueda de la persona desaparecida y la reparación integral de los daños a la víctima y a su familia. La búsqueda de las personas desaparecidas todavía no logra insertarse en los procesos judiciales como un deber necesario en estos casos. La aproximación conservadora y tradicional al juzgamiento de los delitos tiene dificultades para incorporar deberes especiales en delitos como el de la desaparición forzada o por particulares. Aunque la Ley General es clara respecto a las obligaciones de búsqueda, será necesario avanzar en la apropiación de estas ideas novedosas sobre el derecho y el derecho penal para asegurar el acceso a la justicia. </w:t>
      </w:r>
    </w:p>
    <w:p w14:paraId="1F47D4F4" w14:textId="18CBA531" w:rsidR="00650D33" w:rsidRDefault="00650D33" w:rsidP="00650D33">
      <w:pPr>
        <w:spacing w:before="240" w:line="360" w:lineRule="auto"/>
        <w:jc w:val="both"/>
        <w:rPr>
          <w:rFonts w:ascii="Helvetica" w:hAnsi="Helvetica"/>
          <w:sz w:val="22"/>
          <w:szCs w:val="22"/>
          <w:lang w:val="es-ES_tradnl"/>
        </w:rPr>
      </w:pPr>
      <w:r>
        <w:rPr>
          <w:rFonts w:ascii="Helvetica" w:hAnsi="Helvetica"/>
          <w:sz w:val="22"/>
          <w:szCs w:val="22"/>
          <w:lang w:val="es-ES_tradnl"/>
        </w:rPr>
        <w:t xml:space="preserve">Lo mismo sucede con la reparación del daño, donde </w:t>
      </w:r>
      <w:r w:rsidR="002341CB">
        <w:rPr>
          <w:rFonts w:ascii="Helvetica" w:hAnsi="Helvetica"/>
          <w:sz w:val="22"/>
          <w:szCs w:val="22"/>
          <w:lang w:val="es-ES_tradnl"/>
        </w:rPr>
        <w:t xml:space="preserve">algunas autoridades judiciales todavía consideran que la aparición de la persona implica la restitución del derecho y, por tanto que otras formas de reparación no son necesarias. El camino en este aspecto trasciende al delito de desaparición y abre discusiones diversas sobre las posibilidades de la justicia penal para alcanzar una reparación integral, así como la importancia de mecanismos administrativos que coadyuven en el cumplimiento de este derecho. Por ahora, salvo </w:t>
      </w:r>
      <w:r w:rsidR="002341CB">
        <w:rPr>
          <w:rFonts w:ascii="Helvetica" w:hAnsi="Helvetica"/>
          <w:sz w:val="22"/>
          <w:szCs w:val="22"/>
          <w:lang w:val="es-ES_tradnl"/>
        </w:rPr>
        <w:lastRenderedPageBreak/>
        <w:t xml:space="preserve">algunas excepciones, la reparación del daño en los casos analizados también es un derecho pendiente. </w:t>
      </w:r>
    </w:p>
    <w:p w14:paraId="6D5DFDF4" w14:textId="77777777" w:rsidR="00C363F7" w:rsidRPr="00C363F7" w:rsidRDefault="00E560FD" w:rsidP="000E00CA">
      <w:pPr>
        <w:pStyle w:val="Ttulo1"/>
      </w:pPr>
      <w:bookmarkStart w:id="29" w:name="_Toc52293198"/>
      <w:r>
        <w:t>6</w:t>
      </w:r>
      <w:r w:rsidR="00C363F7" w:rsidRPr="00C363F7">
        <w:t>. La idea de la desaparición forzada en las sentencias</w:t>
      </w:r>
      <w:bookmarkEnd w:id="29"/>
    </w:p>
    <w:p w14:paraId="49E46C5B" w14:textId="77777777" w:rsidR="00532B00" w:rsidRDefault="00F15103"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Si bien en términos de </w:t>
      </w:r>
      <w:r w:rsidR="001D27D0">
        <w:rPr>
          <w:rFonts w:ascii="Helvetica" w:hAnsi="Helvetica"/>
          <w:sz w:val="22"/>
          <w:szCs w:val="22"/>
          <w:lang w:val="es-ES"/>
        </w:rPr>
        <w:t xml:space="preserve">la aproximación compleja a los casos y en cuanto al aseguramiento de los derechos de las víctimas y sus familias, apenas es posible identificar algunos avances, tratándose del derecho a no ser desaparecido o desaparecida el avance es palpable, también principalmente en el ámbito local. Las sentencias más antiguas de entre las analizadas dan cuenta de una versión reducida y limitada sobre la desaparición, ligada al servicio público, mientras que las sentencias más recientes incorporan una mayor densidad conceptual </w:t>
      </w:r>
      <w:r w:rsidR="00850578">
        <w:rPr>
          <w:rFonts w:ascii="Helvetica" w:hAnsi="Helvetica"/>
          <w:sz w:val="22"/>
          <w:szCs w:val="22"/>
          <w:lang w:val="es-ES"/>
        </w:rPr>
        <w:t xml:space="preserve">y con ella el reconocimiento de los múltiples derechos que se ven violados con la desaparición forzada de personas. </w:t>
      </w:r>
    </w:p>
    <w:p w14:paraId="5B1DBC7E" w14:textId="77777777" w:rsidR="00850578" w:rsidRDefault="00AA5166" w:rsidP="008A2357">
      <w:pPr>
        <w:spacing w:before="240" w:line="360" w:lineRule="auto"/>
        <w:jc w:val="both"/>
        <w:rPr>
          <w:rFonts w:ascii="Helvetica" w:hAnsi="Helvetica"/>
          <w:sz w:val="22"/>
          <w:szCs w:val="22"/>
          <w:lang w:val="es-ES"/>
        </w:rPr>
      </w:pPr>
      <w:r>
        <w:rPr>
          <w:rFonts w:ascii="Helvetica" w:hAnsi="Helvetica"/>
          <w:sz w:val="22"/>
          <w:szCs w:val="22"/>
          <w:lang w:val="es-ES"/>
        </w:rPr>
        <w:t>Salvo la sentenci</w:t>
      </w:r>
      <w:r w:rsidR="006D10C4">
        <w:rPr>
          <w:rFonts w:ascii="Helvetica" w:hAnsi="Helvetica"/>
          <w:sz w:val="22"/>
          <w:szCs w:val="22"/>
          <w:lang w:val="es-ES"/>
        </w:rPr>
        <w:t xml:space="preserve">a 20/2005-I mencionada en la sección anterior, el grueso de las causas federales es reacio en reconocer la naturaliza </w:t>
      </w:r>
      <w:proofErr w:type="spellStart"/>
      <w:r w:rsidR="006D10C4">
        <w:rPr>
          <w:rFonts w:ascii="Helvetica" w:hAnsi="Helvetica"/>
          <w:sz w:val="22"/>
          <w:szCs w:val="22"/>
          <w:lang w:val="es-ES"/>
        </w:rPr>
        <w:t>pluriofensiva</w:t>
      </w:r>
      <w:proofErr w:type="spellEnd"/>
      <w:r w:rsidR="006D10C4">
        <w:rPr>
          <w:rFonts w:ascii="Helvetica" w:hAnsi="Helvetica"/>
          <w:sz w:val="22"/>
          <w:szCs w:val="22"/>
          <w:lang w:val="es-ES"/>
        </w:rPr>
        <w:t xml:space="preserve"> y compleja de la desaparición forzada</w:t>
      </w:r>
      <w:r w:rsidR="00BD5BA8">
        <w:rPr>
          <w:rFonts w:ascii="Helvetica" w:hAnsi="Helvetica"/>
          <w:sz w:val="22"/>
          <w:szCs w:val="22"/>
          <w:lang w:val="es-ES"/>
        </w:rPr>
        <w:t>, en todo caso, se le ve como una afectación al servicio público</w:t>
      </w:r>
      <w:r w:rsidR="006D10C4">
        <w:rPr>
          <w:rFonts w:ascii="Helvetica" w:hAnsi="Helvetica"/>
          <w:sz w:val="22"/>
          <w:szCs w:val="22"/>
          <w:lang w:val="es-ES"/>
        </w:rPr>
        <w:t xml:space="preserve">. Es hasta 2017, ya con una grave situación de desaparición de personas en el país y una gran movilización nacional e internacional en la materia, que la justicia federal comienza a incorporar criterios más protectores en cuanto a la prohibición de la desaparición forzada. Tal es el caso de la sentencia de la causa penal 101/2013-IV de febrero de 2017, por unos meses anterior a la adopción de la Ley General, donde ya se reconoce como bien jurídico tutelado del delito a “la vida, la integridad corporal, la libertad y la seguridad individual y colectiva”.  </w:t>
      </w:r>
    </w:p>
    <w:p w14:paraId="1ED51B05" w14:textId="77777777" w:rsidR="00BD5BA8" w:rsidRDefault="00BD5BA8" w:rsidP="008A2357">
      <w:pPr>
        <w:spacing w:before="240" w:line="360" w:lineRule="auto"/>
        <w:jc w:val="both"/>
        <w:rPr>
          <w:rFonts w:ascii="Helvetica" w:hAnsi="Helvetica"/>
          <w:sz w:val="22"/>
          <w:szCs w:val="22"/>
          <w:lang w:val="es-ES"/>
        </w:rPr>
      </w:pPr>
      <w:r>
        <w:rPr>
          <w:rFonts w:ascii="Helvetica" w:hAnsi="Helvetica"/>
          <w:sz w:val="22"/>
          <w:szCs w:val="22"/>
          <w:lang w:val="es-ES"/>
        </w:rPr>
        <w:t>Lo anterior se complementa con l</w:t>
      </w:r>
      <w:r w:rsidR="002414DE">
        <w:rPr>
          <w:rFonts w:ascii="Helvetica" w:hAnsi="Helvetica"/>
          <w:sz w:val="22"/>
          <w:szCs w:val="22"/>
          <w:lang w:val="es-ES"/>
        </w:rPr>
        <w:t>a falta de proporcionalidad en las penas impuestas en los casos federales. De nueva cuenta, salvo en la sentencia mencionada en el párrafo anterior</w:t>
      </w:r>
      <w:r w:rsidR="00A51783">
        <w:rPr>
          <w:rFonts w:ascii="Helvetica" w:hAnsi="Helvetica"/>
          <w:sz w:val="22"/>
          <w:szCs w:val="22"/>
          <w:lang w:val="es-ES"/>
        </w:rPr>
        <w:t xml:space="preserve"> y la causa penal </w:t>
      </w:r>
      <w:r w:rsidR="00152B5D">
        <w:rPr>
          <w:rFonts w:ascii="Helvetica" w:hAnsi="Helvetica"/>
          <w:sz w:val="22"/>
          <w:szCs w:val="22"/>
          <w:lang w:val="es-ES"/>
        </w:rPr>
        <w:t xml:space="preserve">104/2013-V del </w:t>
      </w:r>
      <w:r w:rsidR="00152B5D" w:rsidRPr="00152B5D">
        <w:rPr>
          <w:rFonts w:ascii="Helvetica" w:hAnsi="Helvetica"/>
          <w:sz w:val="22"/>
          <w:szCs w:val="22"/>
          <w:lang w:val="es-ES"/>
        </w:rPr>
        <w:t>Juzgado Primero de Distrito en el Estado de Nuevo León</w:t>
      </w:r>
      <w:r w:rsidR="002414DE">
        <w:rPr>
          <w:rFonts w:ascii="Helvetica" w:hAnsi="Helvetica"/>
          <w:sz w:val="22"/>
          <w:szCs w:val="22"/>
          <w:lang w:val="es-ES"/>
        </w:rPr>
        <w:t>, donde la pena ascendió a 57 años</w:t>
      </w:r>
      <w:r w:rsidR="00152B5D">
        <w:rPr>
          <w:rFonts w:ascii="Helvetica" w:hAnsi="Helvetica"/>
          <w:sz w:val="22"/>
          <w:szCs w:val="22"/>
          <w:lang w:val="es-ES"/>
        </w:rPr>
        <w:t xml:space="preserve"> y 31 años, respectivamente</w:t>
      </w:r>
      <w:r w:rsidR="002414DE">
        <w:rPr>
          <w:rFonts w:ascii="Helvetica" w:hAnsi="Helvetica"/>
          <w:sz w:val="22"/>
          <w:szCs w:val="22"/>
          <w:lang w:val="es-ES"/>
        </w:rPr>
        <w:t xml:space="preserve">, las demás sentencias suelen establecer la pena mínima a las personas imputadas por el delito de desaparición forzada, esto es, alrededor de cinco años. En el caso de que hubieran cometido otros delitos, las penas se elevan por esa razón. Si bien una alta pena de prisión no significa una mayor justicia o menos impunidad, lo cierto es que la proporcionalidad de la pena exigida por el derecho de acceso a la justicia </w:t>
      </w:r>
      <w:r w:rsidR="00A51783">
        <w:rPr>
          <w:rFonts w:ascii="Helvetica" w:hAnsi="Helvetica"/>
          <w:sz w:val="22"/>
          <w:szCs w:val="22"/>
          <w:lang w:val="es-ES"/>
        </w:rPr>
        <w:t>atiende al daño causado</w:t>
      </w:r>
      <w:r w:rsidR="00095869">
        <w:rPr>
          <w:rFonts w:ascii="Helvetica" w:hAnsi="Helvetica"/>
          <w:sz w:val="22"/>
          <w:szCs w:val="22"/>
          <w:lang w:val="es-ES"/>
        </w:rPr>
        <w:t xml:space="preserve">, de ahí </w:t>
      </w:r>
      <w:r w:rsidR="00420F85">
        <w:rPr>
          <w:rFonts w:ascii="Helvetica" w:hAnsi="Helvetica"/>
          <w:sz w:val="22"/>
          <w:szCs w:val="22"/>
          <w:lang w:val="es-ES"/>
        </w:rPr>
        <w:t>la importancia de considerar las distintas afectaciones que conlleva dicha conducta prohibida.</w:t>
      </w:r>
    </w:p>
    <w:p w14:paraId="707A6235" w14:textId="77777777" w:rsidR="00420F85" w:rsidRDefault="00420F85" w:rsidP="008A2357">
      <w:pPr>
        <w:spacing w:before="240" w:line="360" w:lineRule="auto"/>
        <w:jc w:val="both"/>
        <w:rPr>
          <w:rFonts w:ascii="Helvetica" w:hAnsi="Helvetica"/>
          <w:sz w:val="22"/>
          <w:szCs w:val="22"/>
          <w:lang w:val="es-ES"/>
        </w:rPr>
      </w:pPr>
      <w:r>
        <w:rPr>
          <w:rFonts w:ascii="Helvetica" w:hAnsi="Helvetica"/>
          <w:sz w:val="22"/>
          <w:szCs w:val="22"/>
          <w:lang w:val="es-ES"/>
        </w:rPr>
        <w:lastRenderedPageBreak/>
        <w:t xml:space="preserve">Por lo que hace a las sentencias emitidas por los tribunales locales también </w:t>
      </w:r>
      <w:r w:rsidR="00912C34">
        <w:rPr>
          <w:rFonts w:ascii="Helvetica" w:hAnsi="Helvetica"/>
          <w:sz w:val="22"/>
          <w:szCs w:val="22"/>
          <w:lang w:val="es-ES"/>
        </w:rPr>
        <w:t xml:space="preserve">hay una evolución del alcance de la prohibición de desaparición en el tiempo, aunque en este caso, ha existido una mayor consistencia. En estas sentencias hay un mayor uso de estándares internacionales en la materia, también de ahí que algunas sean más consistentes con una aproximación estructural, la búsqueda de la persona desaparecida </w:t>
      </w:r>
      <w:r w:rsidR="000A4CD3">
        <w:rPr>
          <w:rFonts w:ascii="Helvetica" w:hAnsi="Helvetica"/>
          <w:sz w:val="22"/>
          <w:szCs w:val="22"/>
          <w:lang w:val="es-ES"/>
        </w:rPr>
        <w:t xml:space="preserve">y la reparación del daño. </w:t>
      </w:r>
    </w:p>
    <w:p w14:paraId="221691D4" w14:textId="77777777" w:rsidR="000F38D7" w:rsidRDefault="000F38D7" w:rsidP="008A2357">
      <w:pPr>
        <w:spacing w:before="240" w:line="360" w:lineRule="auto"/>
        <w:jc w:val="both"/>
        <w:rPr>
          <w:rFonts w:ascii="Helvetica" w:hAnsi="Helvetica"/>
          <w:sz w:val="22"/>
          <w:szCs w:val="22"/>
          <w:lang w:val="es-ES"/>
        </w:rPr>
      </w:pPr>
      <w:r>
        <w:rPr>
          <w:rFonts w:ascii="Helvetica" w:hAnsi="Helvetica"/>
          <w:sz w:val="22"/>
          <w:szCs w:val="22"/>
          <w:lang w:val="es-ES"/>
        </w:rPr>
        <w:t>La diferencia en los ámbitos locales y federales también puede tener que ver con la mayor flexibilidad de los estados por adoptar el sistema acusatorio, en particular entidades como Chihuahua y Nuevo León, frente a la resistencia que tuvo el ámbito federal. La aproximación del sistema acusatorio brinda un mayor margen de acción para la valoración de la prueba</w:t>
      </w:r>
      <w:r w:rsidR="00101406">
        <w:rPr>
          <w:rFonts w:ascii="Helvetica" w:hAnsi="Helvetica"/>
          <w:sz w:val="22"/>
          <w:szCs w:val="22"/>
          <w:lang w:val="es-ES"/>
        </w:rPr>
        <w:t xml:space="preserve">, así como para formular razonamientos más estructurados respecto de los hechos. </w:t>
      </w:r>
    </w:p>
    <w:p w14:paraId="56E52E2F" w14:textId="48B3A241" w:rsidR="000A4CD3" w:rsidRDefault="00017456"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El paso del tiempo es importante. Los sistemas y las ideas novedosas tienden a asentarse entre los operadores judiciales. Sin embargo, ello puede traer consigo maneras diversas de esquivar el cumplimiento de las nuevas obligaciones. Todavía es pronto para hacer un balance general de los efectos del sistema acusatorio y la Ley General en la adjudicación de los casos por el delito de desaparición forzada o desaparición por particulares. Los avances parecen anunciar mejores caminos para asegurar el derecho de acceso a la justicia, sin embargo conviene permanecer alerta de que las personas operadoras se apropien de los objetivos de las nuevas disposiciones en toda su extensión, en lugar de adaptarlas a sus formas tradicionales de actuar. </w:t>
      </w:r>
    </w:p>
    <w:p w14:paraId="31299572" w14:textId="77777777" w:rsidR="00206943" w:rsidRPr="00101406" w:rsidRDefault="00101406" w:rsidP="000E00CA">
      <w:pPr>
        <w:pStyle w:val="Ttulo1"/>
      </w:pPr>
      <w:bookmarkStart w:id="30" w:name="_Toc52293199"/>
      <w:r>
        <w:t>Conclusiones</w:t>
      </w:r>
      <w:bookmarkEnd w:id="30"/>
    </w:p>
    <w:p w14:paraId="2356FE1F" w14:textId="77777777" w:rsidR="00A8433D" w:rsidRDefault="00A8433D" w:rsidP="00A8433D">
      <w:pPr>
        <w:spacing w:before="240" w:line="360" w:lineRule="auto"/>
        <w:jc w:val="both"/>
        <w:rPr>
          <w:rFonts w:ascii="Helvetica" w:hAnsi="Helvetica"/>
          <w:sz w:val="22"/>
          <w:szCs w:val="22"/>
          <w:lang w:val="es-ES"/>
        </w:rPr>
      </w:pPr>
      <w:r>
        <w:rPr>
          <w:rFonts w:ascii="Helvetica" w:hAnsi="Helvetica"/>
          <w:sz w:val="22"/>
          <w:szCs w:val="22"/>
          <w:lang w:val="es-ES"/>
        </w:rPr>
        <w:t xml:space="preserve">Las poquísimas sentencias que hoy existen y se conocen dan cuenta de una gran heterogeneidad en el proceso de investigación y en el decisorio. Hechos similares son resueltos de formas muy diversas, el enfoque principal es hacia el perpetrador aislado y sin otros recursos más que sí mismo, la víctima sigue sin tener mayor relevancia en el caso (ni para ser buscada ni para ser reparada) y, en general, las sentencias aportan poco a la comprensión del fenómeno complejo de desaparición. </w:t>
      </w:r>
    </w:p>
    <w:p w14:paraId="5B5FBE95" w14:textId="77777777" w:rsidR="006A4448" w:rsidRDefault="00A8433D" w:rsidP="008A2357">
      <w:pPr>
        <w:spacing w:before="240" w:line="360" w:lineRule="auto"/>
        <w:jc w:val="both"/>
        <w:rPr>
          <w:rFonts w:ascii="Helvetica" w:hAnsi="Helvetica"/>
          <w:sz w:val="22"/>
          <w:szCs w:val="22"/>
          <w:lang w:val="es-ES"/>
        </w:rPr>
      </w:pPr>
      <w:r>
        <w:rPr>
          <w:rFonts w:ascii="Helvetica" w:hAnsi="Helvetica"/>
          <w:sz w:val="22"/>
          <w:szCs w:val="22"/>
          <w:lang w:val="es-ES"/>
        </w:rPr>
        <w:t>Sin embargo, e</w:t>
      </w:r>
      <w:r w:rsidR="00095FBD">
        <w:rPr>
          <w:rFonts w:ascii="Helvetica" w:hAnsi="Helvetica"/>
          <w:sz w:val="22"/>
          <w:szCs w:val="22"/>
          <w:lang w:val="es-ES"/>
        </w:rPr>
        <w:t xml:space="preserve">n el conjunto, el análisis de las sentencias demuestra que los tribunales penales, particularmente los locales, son permeables al reconocimiento del fenómeno </w:t>
      </w:r>
      <w:r w:rsidR="005463D6">
        <w:rPr>
          <w:rFonts w:ascii="Helvetica" w:hAnsi="Helvetica"/>
          <w:sz w:val="22"/>
          <w:szCs w:val="22"/>
          <w:lang w:val="es-ES"/>
        </w:rPr>
        <w:t xml:space="preserve">complejo </w:t>
      </w:r>
      <w:r w:rsidR="00095FBD">
        <w:rPr>
          <w:rFonts w:ascii="Helvetica" w:hAnsi="Helvetica"/>
          <w:sz w:val="22"/>
          <w:szCs w:val="22"/>
          <w:lang w:val="es-ES"/>
        </w:rPr>
        <w:t xml:space="preserve">de la desaparición y sus consecuencias. La aproximación </w:t>
      </w:r>
      <w:r w:rsidR="005463D6">
        <w:rPr>
          <w:rFonts w:ascii="Helvetica" w:hAnsi="Helvetica"/>
          <w:sz w:val="22"/>
          <w:szCs w:val="22"/>
          <w:lang w:val="es-ES"/>
        </w:rPr>
        <w:t>estructural</w:t>
      </w:r>
      <w:r w:rsidR="00095FBD">
        <w:rPr>
          <w:rFonts w:ascii="Helvetica" w:hAnsi="Helvetica"/>
          <w:sz w:val="22"/>
          <w:szCs w:val="22"/>
          <w:lang w:val="es-ES"/>
        </w:rPr>
        <w:t xml:space="preserve"> que estos asuntos requieren está lejos de la práctica cotidiana a la que se enfrentas las autoridades </w:t>
      </w:r>
      <w:r w:rsidR="00095FBD">
        <w:rPr>
          <w:rFonts w:ascii="Helvetica" w:hAnsi="Helvetica"/>
          <w:sz w:val="22"/>
          <w:szCs w:val="22"/>
          <w:lang w:val="es-ES"/>
        </w:rPr>
        <w:lastRenderedPageBreak/>
        <w:t xml:space="preserve">judiciales, de ahí que en los primeros casos que conozcan no necesariamente cuenten con las herramientas para construir respuestas con enfoque sistemático a los casos. De la misma forma, asumir como propia la obligación de ordenar la búsqueda de las personas desaparecidas se incorpora </w:t>
      </w:r>
      <w:r w:rsidR="005463D6">
        <w:rPr>
          <w:rFonts w:ascii="Helvetica" w:hAnsi="Helvetica"/>
          <w:sz w:val="22"/>
          <w:szCs w:val="22"/>
          <w:lang w:val="es-ES"/>
        </w:rPr>
        <w:t xml:space="preserve">de manera reciente a las respuestas tradicionales de los juzgados penales. Algo similar, aunque con mayor trayectoria, sucede en el caso de la reparación del daño. </w:t>
      </w:r>
      <w:r w:rsidR="00C465A9">
        <w:rPr>
          <w:rFonts w:ascii="Helvetica" w:hAnsi="Helvetica"/>
          <w:sz w:val="22"/>
          <w:szCs w:val="22"/>
          <w:lang w:val="es-ES"/>
        </w:rPr>
        <w:t xml:space="preserve">Vista a la emisión de sentencias como un proceso que se desarrolla en el tiempo, es factible pensar que con una mayor apropiación de la Ley General y de los estándares internacionales, así como del propio sistema acusatorio, los tribunales locales -particularmente de estados como Chihuahua y, en menor medida Coahuila- estarán en mayor posibilidad de acercarse al cumplimiento del derecho de acceso a la justicia de las víctimas y sus familias, así como de elevar la exigencia a las autoridades de procuración de justicia. </w:t>
      </w:r>
    </w:p>
    <w:p w14:paraId="031F335F" w14:textId="77777777" w:rsidR="00206943" w:rsidRDefault="00A8433D" w:rsidP="008A2357">
      <w:pPr>
        <w:spacing w:before="240" w:line="360" w:lineRule="auto"/>
        <w:jc w:val="both"/>
        <w:rPr>
          <w:rFonts w:ascii="Helvetica" w:hAnsi="Helvetica"/>
          <w:sz w:val="22"/>
          <w:szCs w:val="22"/>
          <w:lang w:val="es-ES"/>
        </w:rPr>
      </w:pPr>
      <w:r>
        <w:rPr>
          <w:rFonts w:ascii="Helvetica" w:hAnsi="Helvetica"/>
          <w:sz w:val="22"/>
          <w:szCs w:val="22"/>
          <w:lang w:val="es-ES"/>
        </w:rPr>
        <w:t>La justicia federal tiene de frente un gran reto para acercarse a lo que ya ha logrado la justicia local en la materia. Tal vez uno de sus mayores desafíos sea</w:t>
      </w:r>
      <w:r w:rsidR="00DF41F2">
        <w:rPr>
          <w:rFonts w:ascii="Helvetica" w:hAnsi="Helvetica"/>
          <w:sz w:val="22"/>
          <w:szCs w:val="22"/>
          <w:lang w:val="es-ES"/>
        </w:rPr>
        <w:t xml:space="preserve">n los asuntos donde los perpetradores son elementos del Ejército mexicano. Aunque en varias de las sentencias, las autoridades judiciales (de procuración y administración de justicia) logran claras condenas, son reticentes en profundizar el análisis de superioridad jerárquica, relación con grupos criminales, la búsqueda de las personas y el daño causado por la desaparición forzada y, en muchos casos, también por actos de tortura. </w:t>
      </w:r>
    </w:p>
    <w:p w14:paraId="5F0283CC" w14:textId="072E6672" w:rsidR="007B3E4D" w:rsidRDefault="007B3E4D"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Como se puede observar a lo largo del informe, prácticamente todos los casos se refieren a desapariciones cometidas por agentes estatales, por lo que se trata de desapariciones forzadas. La ampliación de la prohibición de desaparición para abarcar también aquella cometida por particulares se presenta también como un reto para la judicialización de los casos. Se trata de un reto que incluso tiene la </w:t>
      </w:r>
      <w:proofErr w:type="spellStart"/>
      <w:r>
        <w:rPr>
          <w:rFonts w:ascii="Helvetica" w:hAnsi="Helvetica"/>
          <w:sz w:val="22"/>
          <w:szCs w:val="22"/>
          <w:lang w:val="es-ES"/>
        </w:rPr>
        <w:t>CorteIDH</w:t>
      </w:r>
      <w:proofErr w:type="spellEnd"/>
      <w:r>
        <w:rPr>
          <w:rFonts w:ascii="Helvetica" w:hAnsi="Helvetica"/>
          <w:sz w:val="22"/>
          <w:szCs w:val="22"/>
          <w:lang w:val="es-ES"/>
        </w:rPr>
        <w:t xml:space="preserve">, pero donde las autoridades judiciales nacionales tienen la ventaja del enorme alcance que les da la Ley General. El par de sentencias aquí analizadas donde los perpetradores son particulares son casos </w:t>
      </w:r>
      <w:r w:rsidR="00BF6445">
        <w:rPr>
          <w:rFonts w:ascii="Helvetica" w:hAnsi="Helvetica"/>
          <w:sz w:val="22"/>
          <w:szCs w:val="22"/>
          <w:lang w:val="es-ES"/>
        </w:rPr>
        <w:t xml:space="preserve">más cercanos al estándar de acceso a la justicia, por lo que podría ser un desafío asumido con relativa facilidad. </w:t>
      </w:r>
    </w:p>
    <w:p w14:paraId="1A1CD7CB" w14:textId="279494C1" w:rsidR="005F295C" w:rsidRDefault="005F295C" w:rsidP="008A2357">
      <w:pPr>
        <w:spacing w:before="240" w:line="360" w:lineRule="auto"/>
        <w:jc w:val="both"/>
        <w:rPr>
          <w:rFonts w:ascii="Helvetica" w:hAnsi="Helvetica"/>
          <w:sz w:val="22"/>
          <w:szCs w:val="22"/>
          <w:lang w:val="es-ES"/>
        </w:rPr>
      </w:pPr>
      <w:r>
        <w:rPr>
          <w:rFonts w:ascii="Helvetica" w:hAnsi="Helvetica"/>
          <w:sz w:val="22"/>
          <w:szCs w:val="22"/>
          <w:lang w:val="es-ES"/>
        </w:rPr>
        <w:t>De acuerdo con ello, el cumplimiento del derecho de acceso a la justicia en la investigación y adjudicación judicial de los delitos de desaparición forzada y desaparición por particulares requiere, al menos, de lo siguiente:</w:t>
      </w:r>
    </w:p>
    <w:p w14:paraId="3F4AE0B5" w14:textId="7F9E4961" w:rsidR="00BE3B07" w:rsidRDefault="00EB021F" w:rsidP="000E59E5">
      <w:pPr>
        <w:pStyle w:val="Prrafodelista"/>
        <w:numPr>
          <w:ilvl w:val="0"/>
          <w:numId w:val="18"/>
        </w:numPr>
        <w:spacing w:before="240" w:line="360" w:lineRule="auto"/>
        <w:ind w:left="360"/>
        <w:jc w:val="both"/>
        <w:rPr>
          <w:rFonts w:ascii="Helvetica" w:hAnsi="Helvetica"/>
          <w:sz w:val="22"/>
          <w:szCs w:val="22"/>
          <w:lang w:val="es-ES"/>
        </w:rPr>
      </w:pPr>
      <w:r>
        <w:rPr>
          <w:rFonts w:ascii="Helvetica" w:hAnsi="Helvetica"/>
          <w:sz w:val="22"/>
          <w:szCs w:val="22"/>
          <w:lang w:val="es-ES"/>
        </w:rPr>
        <w:lastRenderedPageBreak/>
        <w:t xml:space="preserve">Incorporar al </w:t>
      </w:r>
      <w:r w:rsidR="005F295C">
        <w:rPr>
          <w:rFonts w:ascii="Helvetica" w:hAnsi="Helvetica"/>
          <w:sz w:val="22"/>
          <w:szCs w:val="22"/>
          <w:lang w:val="es-ES"/>
        </w:rPr>
        <w:t>análisis de contexto como método y como presupuesto del fenómeno de desaparición</w:t>
      </w:r>
      <w:r>
        <w:rPr>
          <w:rFonts w:ascii="Helvetica" w:hAnsi="Helvetica"/>
          <w:sz w:val="22"/>
          <w:szCs w:val="22"/>
          <w:lang w:val="es-ES"/>
        </w:rPr>
        <w:t xml:space="preserve"> en las investigaciones</w:t>
      </w:r>
      <w:r w:rsidR="005F295C">
        <w:rPr>
          <w:rFonts w:ascii="Helvetica" w:hAnsi="Helvetica"/>
          <w:sz w:val="22"/>
          <w:szCs w:val="22"/>
          <w:lang w:val="es-ES"/>
        </w:rPr>
        <w:t>. En un país como México, donde existen más de 70 mil personas desaparecidas, la desaparición no constituye un hecho aislado sino que hace parte de un entramado complejo de estructuras criminales con objetivos diversos. Conocer la verdad sobre los hechos, el fin de la investigación, implica identificar los patrones de la desaparición y ubicarlo en tanto problema grave de derechos humanos.</w:t>
      </w:r>
    </w:p>
    <w:p w14:paraId="76720CCA" w14:textId="77777777" w:rsidR="000E59E5" w:rsidRDefault="000E59E5" w:rsidP="000E59E5">
      <w:pPr>
        <w:pStyle w:val="Prrafodelista"/>
        <w:spacing w:before="240" w:line="360" w:lineRule="auto"/>
        <w:ind w:left="360"/>
        <w:jc w:val="both"/>
        <w:rPr>
          <w:rFonts w:ascii="Helvetica" w:hAnsi="Helvetica"/>
          <w:sz w:val="22"/>
          <w:szCs w:val="22"/>
          <w:lang w:val="es-ES"/>
        </w:rPr>
      </w:pPr>
    </w:p>
    <w:p w14:paraId="04971781" w14:textId="77777777" w:rsidR="00BE3B07" w:rsidRDefault="00BE3B07" w:rsidP="000E59E5">
      <w:pPr>
        <w:pStyle w:val="Prrafodelista"/>
        <w:spacing w:before="240" w:line="360" w:lineRule="auto"/>
        <w:ind w:left="360"/>
        <w:jc w:val="both"/>
        <w:rPr>
          <w:rFonts w:ascii="Helvetica" w:hAnsi="Helvetica"/>
          <w:sz w:val="22"/>
          <w:szCs w:val="22"/>
          <w:lang w:val="es-ES"/>
        </w:rPr>
      </w:pPr>
      <w:r>
        <w:rPr>
          <w:rFonts w:ascii="Helvetica" w:hAnsi="Helvetica"/>
          <w:sz w:val="22"/>
          <w:szCs w:val="22"/>
          <w:lang w:val="es-ES"/>
        </w:rPr>
        <w:t>Lo anterior implica una investigación en distintos niveles. Un primer nivel general donde se busque probar la existencia de prácticas de desaparición en la región del caso individual. Un segundo nivel donde se identifiquen a los principales perpetradores, tanto estatales y no estatales, y donde también se establezca su mecánica de operación. Finalmente, un tercer nivel que pruebe los hechos de una desaparición específica. De lo que se trata es de situar una desaparición individual en un fenómeno de desaparición general. Para ello, la construcción del caso debe partir de reconocer la existencia del fenómeno y de los actores principales.</w:t>
      </w:r>
    </w:p>
    <w:p w14:paraId="0E262100" w14:textId="5EEB5134" w:rsidR="005F295C" w:rsidRDefault="00BE3B07" w:rsidP="000E59E5">
      <w:pPr>
        <w:pStyle w:val="Prrafodelista"/>
        <w:spacing w:before="240" w:line="360" w:lineRule="auto"/>
        <w:ind w:left="360"/>
        <w:jc w:val="both"/>
        <w:rPr>
          <w:rFonts w:ascii="Helvetica" w:hAnsi="Helvetica"/>
          <w:sz w:val="22"/>
          <w:szCs w:val="22"/>
          <w:lang w:val="es-ES"/>
        </w:rPr>
      </w:pPr>
      <w:r>
        <w:rPr>
          <w:rFonts w:ascii="Helvetica" w:hAnsi="Helvetica"/>
          <w:sz w:val="22"/>
          <w:szCs w:val="22"/>
          <w:lang w:val="es-ES"/>
        </w:rPr>
        <w:t xml:space="preserve"> </w:t>
      </w:r>
      <w:r w:rsidR="005F295C">
        <w:rPr>
          <w:rFonts w:ascii="Helvetica" w:hAnsi="Helvetica"/>
          <w:sz w:val="22"/>
          <w:szCs w:val="22"/>
          <w:lang w:val="es-ES"/>
        </w:rPr>
        <w:t xml:space="preserve"> </w:t>
      </w:r>
    </w:p>
    <w:p w14:paraId="341CB128" w14:textId="77777777" w:rsidR="00F87A1D" w:rsidRDefault="00C22B1E" w:rsidP="000E59E5">
      <w:pPr>
        <w:pStyle w:val="Prrafodelista"/>
        <w:numPr>
          <w:ilvl w:val="0"/>
          <w:numId w:val="18"/>
        </w:numPr>
        <w:spacing w:before="240" w:line="360" w:lineRule="auto"/>
        <w:ind w:left="360"/>
        <w:jc w:val="both"/>
        <w:rPr>
          <w:rFonts w:ascii="Helvetica" w:hAnsi="Helvetica"/>
          <w:sz w:val="22"/>
          <w:szCs w:val="22"/>
          <w:lang w:val="es-ES"/>
        </w:rPr>
      </w:pPr>
      <w:r>
        <w:rPr>
          <w:rFonts w:ascii="Helvetica" w:hAnsi="Helvetica"/>
          <w:sz w:val="22"/>
          <w:szCs w:val="22"/>
          <w:lang w:val="es-ES"/>
        </w:rPr>
        <w:t xml:space="preserve">Identificar y reconocer los bienes jurídicos tutelados por los delitos de desaparición forzada y desaparición por particulares, de tal forma que esto impacte tanto las condenas como la aproximación de fiscales y autoridades judiciales a los casos. Ello implica distinguir entre delitos simples y delitos complejos tanto para la formulación de la teoría del caso y la investigación, como para la </w:t>
      </w:r>
      <w:r w:rsidR="00F87A1D">
        <w:rPr>
          <w:rFonts w:ascii="Helvetica" w:hAnsi="Helvetica"/>
          <w:sz w:val="22"/>
          <w:szCs w:val="22"/>
          <w:lang w:val="es-ES"/>
        </w:rPr>
        <w:t xml:space="preserve">adjudicación judicial. </w:t>
      </w:r>
    </w:p>
    <w:p w14:paraId="0A1B7533" w14:textId="015EFD01" w:rsidR="005F295C" w:rsidRDefault="00C22B1E" w:rsidP="000E59E5">
      <w:pPr>
        <w:pStyle w:val="Prrafodelista"/>
        <w:spacing w:before="240" w:line="360" w:lineRule="auto"/>
        <w:ind w:left="360"/>
        <w:jc w:val="both"/>
        <w:rPr>
          <w:rFonts w:ascii="Helvetica" w:hAnsi="Helvetica"/>
          <w:sz w:val="22"/>
          <w:szCs w:val="22"/>
          <w:lang w:val="es-ES"/>
        </w:rPr>
      </w:pPr>
      <w:r>
        <w:rPr>
          <w:rFonts w:ascii="Helvetica" w:hAnsi="Helvetica"/>
          <w:sz w:val="22"/>
          <w:szCs w:val="22"/>
          <w:lang w:val="es-ES"/>
        </w:rPr>
        <w:t xml:space="preserve"> </w:t>
      </w:r>
    </w:p>
    <w:p w14:paraId="0B5016F3" w14:textId="19997B85" w:rsidR="000E59E5" w:rsidRDefault="000E59E5" w:rsidP="000E59E5">
      <w:pPr>
        <w:pStyle w:val="Prrafodelista"/>
        <w:numPr>
          <w:ilvl w:val="0"/>
          <w:numId w:val="18"/>
        </w:numPr>
        <w:spacing w:before="240" w:line="360" w:lineRule="auto"/>
        <w:ind w:left="360"/>
        <w:jc w:val="both"/>
        <w:rPr>
          <w:rFonts w:ascii="Helvetica" w:hAnsi="Helvetica"/>
          <w:sz w:val="22"/>
          <w:szCs w:val="22"/>
          <w:lang w:val="es-ES"/>
        </w:rPr>
      </w:pPr>
      <w:r>
        <w:rPr>
          <w:rFonts w:ascii="Helvetica" w:hAnsi="Helvetica"/>
          <w:sz w:val="22"/>
          <w:szCs w:val="22"/>
          <w:lang w:val="es-ES"/>
        </w:rPr>
        <w:t xml:space="preserve">Incorporar distintos medios de prueba en las investigaciones, particularmente la indiciaria. Este tipo de delitos rara vez van a tener pruebas directas, de ahí que se requieran pruebas técnicas, pero sobretodo el conocimiento y uso de las implicaciones de las pruebas indiciarias y circunstanciales, así como de técnicas para probar autoría mediata. Por ello, también se hace necesario fomentar el uso de la priorización de casos con reglas y objetivos claros. </w:t>
      </w:r>
    </w:p>
    <w:p w14:paraId="1A8D311C" w14:textId="77777777" w:rsidR="000E59E5" w:rsidRPr="000E59E5" w:rsidRDefault="000E59E5" w:rsidP="000E59E5">
      <w:pPr>
        <w:pStyle w:val="Prrafodelista"/>
        <w:ind w:left="360"/>
        <w:rPr>
          <w:rFonts w:ascii="Helvetica" w:hAnsi="Helvetica"/>
          <w:sz w:val="22"/>
          <w:szCs w:val="22"/>
          <w:lang w:val="es-ES"/>
        </w:rPr>
      </w:pPr>
    </w:p>
    <w:p w14:paraId="27970468" w14:textId="106199A5" w:rsidR="00C22B1E" w:rsidRDefault="00F2343C" w:rsidP="000E59E5">
      <w:pPr>
        <w:pStyle w:val="Prrafodelista"/>
        <w:numPr>
          <w:ilvl w:val="0"/>
          <w:numId w:val="18"/>
        </w:numPr>
        <w:spacing w:before="240" w:line="360" w:lineRule="auto"/>
        <w:ind w:left="360"/>
        <w:jc w:val="both"/>
        <w:rPr>
          <w:rFonts w:ascii="Helvetica" w:hAnsi="Helvetica"/>
          <w:sz w:val="22"/>
          <w:szCs w:val="22"/>
          <w:lang w:val="es-ES"/>
        </w:rPr>
      </w:pPr>
      <w:r>
        <w:rPr>
          <w:rFonts w:ascii="Helvetica" w:hAnsi="Helvetica"/>
          <w:sz w:val="22"/>
          <w:szCs w:val="22"/>
          <w:lang w:val="es-ES"/>
        </w:rPr>
        <w:t xml:space="preserve">Buscar develar la verdad sobre los hechos. El derecho de acceso a la justicia tiene como propósito que la investigación permita lograr esa verdad. Si la investigación tiene como único objetivo la sanción de alguno de los perpetradores habrá sentencia pero no acceso a la justicia. </w:t>
      </w:r>
    </w:p>
    <w:p w14:paraId="5E794E9F" w14:textId="77777777" w:rsidR="00F2343C" w:rsidRPr="00F2343C" w:rsidRDefault="00F2343C" w:rsidP="000E59E5">
      <w:pPr>
        <w:pStyle w:val="Prrafodelista"/>
        <w:ind w:left="360"/>
        <w:rPr>
          <w:rFonts w:ascii="Helvetica" w:hAnsi="Helvetica"/>
          <w:sz w:val="22"/>
          <w:szCs w:val="22"/>
          <w:lang w:val="es-ES"/>
        </w:rPr>
      </w:pPr>
    </w:p>
    <w:p w14:paraId="16B7646F" w14:textId="100DBE6E" w:rsidR="000E086A" w:rsidRPr="000E59E5" w:rsidRDefault="00F2343C" w:rsidP="000E59E5">
      <w:pPr>
        <w:pStyle w:val="Prrafodelista"/>
        <w:numPr>
          <w:ilvl w:val="0"/>
          <w:numId w:val="18"/>
        </w:numPr>
        <w:spacing w:before="240" w:line="360" w:lineRule="auto"/>
        <w:ind w:left="360"/>
        <w:jc w:val="both"/>
        <w:rPr>
          <w:rFonts w:ascii="Helvetica" w:hAnsi="Helvetica"/>
          <w:sz w:val="22"/>
          <w:szCs w:val="22"/>
          <w:lang w:val="es-ES"/>
        </w:rPr>
      </w:pPr>
      <w:r>
        <w:rPr>
          <w:rFonts w:ascii="Helvetica" w:hAnsi="Helvetica"/>
          <w:sz w:val="22"/>
          <w:szCs w:val="22"/>
          <w:lang w:val="es-ES"/>
        </w:rPr>
        <w:t xml:space="preserve">Buscar la rendición de cuentas de los perpetradores. El acceso a la justicia implica que las personas responsables de las violaciones graves a derechos humanos sancionadas como delitos tengan una pena proporcional a la conducta cometida, de tal manera que </w:t>
      </w:r>
      <w:r w:rsidR="000E086A">
        <w:rPr>
          <w:rFonts w:ascii="Helvetica" w:hAnsi="Helvetica"/>
          <w:sz w:val="22"/>
          <w:szCs w:val="22"/>
          <w:lang w:val="es-ES"/>
        </w:rPr>
        <w:t xml:space="preserve">la pena no sea una mera simulación. La existencia de sentencias no implica, por sí, la justicia y la no impunidad. De hecho, una sentencia que no aporte justicia afirma la impunidad. </w:t>
      </w:r>
    </w:p>
    <w:p w14:paraId="7E872377" w14:textId="6DF64BFA" w:rsidR="00BF6445" w:rsidRDefault="00BF6445" w:rsidP="008A2357">
      <w:pPr>
        <w:spacing w:before="240" w:line="360" w:lineRule="auto"/>
        <w:jc w:val="both"/>
        <w:rPr>
          <w:rFonts w:ascii="Helvetica" w:hAnsi="Helvetica"/>
          <w:sz w:val="22"/>
          <w:szCs w:val="22"/>
          <w:lang w:val="es-ES"/>
        </w:rPr>
      </w:pPr>
      <w:r>
        <w:rPr>
          <w:rFonts w:ascii="Helvetica" w:hAnsi="Helvetica"/>
          <w:sz w:val="22"/>
          <w:szCs w:val="22"/>
          <w:lang w:val="es-ES"/>
        </w:rPr>
        <w:t>Hay dos cuestiones que requieren una mayor profundidad de análisis y que exceden el objetivo de este informe. La primera tiene que ver con la preferencia de judicializar casos donde la persona víctima de desaparición ha sido hallada</w:t>
      </w:r>
      <w:r w:rsidR="009E2B17">
        <w:rPr>
          <w:rFonts w:ascii="Helvetica" w:hAnsi="Helvetica"/>
          <w:sz w:val="22"/>
          <w:szCs w:val="22"/>
          <w:lang w:val="es-ES"/>
        </w:rPr>
        <w:t xml:space="preserve"> </w:t>
      </w:r>
      <w:proofErr w:type="gramStart"/>
      <w:r w:rsidR="009E2B17">
        <w:rPr>
          <w:rFonts w:ascii="Helvetica" w:hAnsi="Helvetica"/>
          <w:sz w:val="22"/>
          <w:szCs w:val="22"/>
          <w:lang w:val="es-ES"/>
        </w:rPr>
        <w:t>( con</w:t>
      </w:r>
      <w:proofErr w:type="gramEnd"/>
      <w:r w:rsidR="009E2B17">
        <w:rPr>
          <w:rFonts w:ascii="Helvetica" w:hAnsi="Helvetica"/>
          <w:sz w:val="22"/>
          <w:szCs w:val="22"/>
          <w:lang w:val="es-ES"/>
        </w:rPr>
        <w:t xml:space="preserve"> o sin vida)</w:t>
      </w:r>
      <w:r>
        <w:rPr>
          <w:rFonts w:ascii="Helvetica" w:hAnsi="Helvetica"/>
          <w:sz w:val="22"/>
          <w:szCs w:val="22"/>
          <w:lang w:val="es-ES"/>
        </w:rPr>
        <w:t xml:space="preserve">. Una primera conjetura es que en estos casos se cuenta con mayores elementos de prueba, lo que facilita la tarea de los fiscales para judicializar los casos. También podría influir el que las víctimas y las familias dirigen un mayor esfuerzo a la justicia una vez que ya conocen el destino de la persona. En cualquier caso, se requiere profundizar el análisis a fin de estar en posibilidad de apuntar tendencias de judicialización. </w:t>
      </w:r>
    </w:p>
    <w:p w14:paraId="216894D4" w14:textId="77777777" w:rsidR="00F27BAF" w:rsidRDefault="00BF6445"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La segunda cuestión se refiere a la relación de los casos judicializados con la publicidad de los asuntos, ya sea porque existen recomendaciones en la Comisión Nacional de los Derechos Humanos o la comisión estatal, o bien porque existen notas de prensa o reportajes sobre los casos de desaparición. En primera instancia, la coincidencia de sentencia y otro mecanismo de justicia como lo son las recomendaciones o de publicidad habla, en primer lugar, de la movilización de los familiares de la víctima. No obstante, convendría indagar la relación para saber si </w:t>
      </w:r>
      <w:r w:rsidR="00F27BAF">
        <w:rPr>
          <w:rFonts w:ascii="Helvetica" w:hAnsi="Helvetica"/>
          <w:sz w:val="22"/>
          <w:szCs w:val="22"/>
          <w:lang w:val="es-ES"/>
        </w:rPr>
        <w:t xml:space="preserve">es esa publicidad y la existencia de otros mecanismos de justicia también públicos lo que impulsa la judicialización. </w:t>
      </w:r>
    </w:p>
    <w:p w14:paraId="44224196" w14:textId="77777777" w:rsidR="00555D3A" w:rsidRDefault="00F27BAF" w:rsidP="008A2357">
      <w:pPr>
        <w:spacing w:before="240" w:line="360" w:lineRule="auto"/>
        <w:jc w:val="both"/>
        <w:rPr>
          <w:rFonts w:ascii="Helvetica" w:hAnsi="Helvetica"/>
          <w:sz w:val="22"/>
          <w:szCs w:val="22"/>
          <w:lang w:val="es-ES"/>
        </w:rPr>
      </w:pPr>
      <w:r>
        <w:rPr>
          <w:rFonts w:ascii="Helvetica" w:hAnsi="Helvetica"/>
          <w:sz w:val="22"/>
          <w:szCs w:val="22"/>
          <w:lang w:val="es-ES"/>
        </w:rPr>
        <w:t xml:space="preserve">Finalmente, conviene hacer referencia a la importancia de garantizar el acceso a las sentencias de delitos que sancionan violaciones graves a derechos humanos. </w:t>
      </w:r>
      <w:r w:rsidR="00757198">
        <w:rPr>
          <w:rFonts w:ascii="Helvetica" w:hAnsi="Helvetica"/>
          <w:sz w:val="22"/>
          <w:szCs w:val="22"/>
          <w:lang w:val="es-ES"/>
        </w:rPr>
        <w:t xml:space="preserve">Lo anterior no solo porque interesa conocer la forma en que se imparte justicia, sino porque ante la crisis de desaparición de personas que vive el país, las sentencias constituyen documentos públicos que brindan elementos para dilucidar al fenómeno que permita </w:t>
      </w:r>
      <w:r w:rsidR="000565CE">
        <w:rPr>
          <w:rFonts w:ascii="Helvetica" w:hAnsi="Helvetica"/>
          <w:sz w:val="22"/>
          <w:szCs w:val="22"/>
          <w:lang w:val="es-ES"/>
        </w:rPr>
        <w:t xml:space="preserve">generar estrategias para su prevención. </w:t>
      </w:r>
    </w:p>
    <w:p w14:paraId="713AF6A6" w14:textId="77777777" w:rsidR="000565CE" w:rsidRDefault="000565CE">
      <w:pPr>
        <w:rPr>
          <w:rFonts w:ascii="Helvetica" w:hAnsi="Helvetica"/>
          <w:sz w:val="22"/>
          <w:szCs w:val="22"/>
          <w:lang w:val="es-ES"/>
        </w:rPr>
      </w:pPr>
      <w:r>
        <w:rPr>
          <w:rFonts w:ascii="Helvetica" w:hAnsi="Helvetica"/>
          <w:sz w:val="22"/>
          <w:szCs w:val="22"/>
          <w:lang w:val="es-ES"/>
        </w:rPr>
        <w:br w:type="page"/>
      </w:r>
    </w:p>
    <w:bookmarkStart w:id="31" w:name="_Toc52293200" w:displacedByCustomXml="next"/>
    <w:sdt>
      <w:sdtPr>
        <w:rPr>
          <w:rFonts w:ascii="Times New Roman" w:hAnsi="Times New Roman"/>
          <w:b w:val="0"/>
          <w:bCs w:val="0"/>
          <w:sz w:val="24"/>
          <w:szCs w:val="24"/>
          <w:lang w:val="es-MX"/>
        </w:rPr>
        <w:id w:val="904344713"/>
        <w:docPartObj>
          <w:docPartGallery w:val="Bibliographies"/>
          <w:docPartUnique/>
        </w:docPartObj>
      </w:sdtPr>
      <w:sdtContent>
        <w:p w14:paraId="7E15325D" w14:textId="77777777" w:rsidR="000565CE" w:rsidRDefault="000565CE">
          <w:pPr>
            <w:pStyle w:val="Ttulo1"/>
          </w:pPr>
          <w:r>
            <w:t>Bibliografía</w:t>
          </w:r>
          <w:bookmarkEnd w:id="31"/>
        </w:p>
        <w:sdt>
          <w:sdtPr>
            <w:rPr>
              <w:rFonts w:ascii="Helvetica" w:hAnsi="Helvetica"/>
              <w:sz w:val="22"/>
              <w:szCs w:val="22"/>
            </w:rPr>
            <w:id w:val="111145805"/>
            <w:bibliography/>
          </w:sdtPr>
          <w:sdtEndPr>
            <w:rPr>
              <w:rFonts w:ascii="Times New Roman" w:hAnsi="Times New Roman"/>
              <w:sz w:val="24"/>
              <w:szCs w:val="24"/>
            </w:rPr>
          </w:sdtEndPr>
          <w:sdtContent>
            <w:p w14:paraId="0E3A27ED"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sz w:val="22"/>
                  <w:szCs w:val="22"/>
                </w:rPr>
                <w:fldChar w:fldCharType="begin"/>
              </w:r>
              <w:r w:rsidRPr="000E086A">
                <w:rPr>
                  <w:rFonts w:ascii="Helvetica" w:hAnsi="Helvetica"/>
                  <w:sz w:val="22"/>
                  <w:szCs w:val="22"/>
                </w:rPr>
                <w:instrText>BIBLIOGRAPHY</w:instrText>
              </w:r>
              <w:r w:rsidRPr="000E086A">
                <w:rPr>
                  <w:rFonts w:ascii="Helvetica" w:hAnsi="Helvetica"/>
                  <w:sz w:val="22"/>
                  <w:szCs w:val="22"/>
                </w:rPr>
                <w:fldChar w:fldCharType="separate"/>
              </w:r>
              <w:r w:rsidRPr="000E086A">
                <w:rPr>
                  <w:rFonts w:ascii="Helvetica" w:hAnsi="Helvetica"/>
                  <w:noProof/>
                  <w:sz w:val="22"/>
                  <w:szCs w:val="22"/>
                  <w:lang w:val="es-ES"/>
                </w:rPr>
                <w:t>Caso La Cantuta Vs. Perú, 162 (Corte Interamericana de Derechos Humanos 29 de Noviembre de 2006).</w:t>
              </w:r>
            </w:p>
            <w:p w14:paraId="681A789A"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Alvarado Espinoza y otros Vs. México, 370 (Corte Interamericana de Derechos Humanos 28 de Noviembre de 2018).</w:t>
              </w:r>
            </w:p>
            <w:p w14:paraId="5A918D0D"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Anzualdo Castro Vs. Perú, 202 (Corte Interamericana de Derechos Humanos 22 de Septiembre de 2009).</w:t>
              </w:r>
            </w:p>
            <w:p w14:paraId="1CDD1526"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Blake Vs. Guatemala, 36 (Corte Interamericana de Derechos Humanos 24 de Enero de 1998).</w:t>
              </w:r>
            </w:p>
            <w:p w14:paraId="68811C15"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de la Masacre de Pueblo Bello Vs. Colombia, 140 (Corte Interamericana de Derechos Humanos 31 de Enero de 2006).</w:t>
              </w:r>
            </w:p>
            <w:p w14:paraId="3C1F4432"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Gomes Lund y otros ("Guerrilha do Araguaia") Vs. Brasil, 219 (Corte Interamericana de Derechos Humanos 24 de Noviembre de 2010).</w:t>
              </w:r>
            </w:p>
            <w:p w14:paraId="16880197"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González y otras (“Campo Algodonero”) Vs. México, 205 (Corte Interamericana de Derechos Humanos 16 de Noviembre de 2009).</w:t>
              </w:r>
            </w:p>
            <w:p w14:paraId="7AB1C602"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Ibsen Cárdenas e Ibsen Peña Vs. Bolivia, 217 (Corte Interamericana de Derechos Humanos 1 de Septiembre de 2010).</w:t>
              </w:r>
            </w:p>
            <w:p w14:paraId="110637DC" w14:textId="77777777" w:rsidR="000565CE" w:rsidRPr="000E086A" w:rsidRDefault="000565CE" w:rsidP="000565CE">
              <w:pPr>
                <w:pStyle w:val="Bibliografa"/>
                <w:ind w:left="720" w:hanging="720"/>
                <w:rPr>
                  <w:rFonts w:ascii="Helvetica" w:hAnsi="Helvetica"/>
                  <w:noProof/>
                  <w:sz w:val="22"/>
                  <w:szCs w:val="22"/>
                  <w:lang w:val="es-ES"/>
                </w:rPr>
              </w:pPr>
              <w:r w:rsidRPr="000E086A">
                <w:rPr>
                  <w:rFonts w:ascii="Helvetica" w:hAnsi="Helvetica"/>
                  <w:noProof/>
                  <w:sz w:val="22"/>
                  <w:szCs w:val="22"/>
                  <w:lang w:val="es-ES"/>
                </w:rPr>
                <w:t>Caso Radilla Pacheco Vs. México, 209 (Corte Interamericana de Derechos Humanos 23 de Noviembre de 2009).</w:t>
              </w:r>
            </w:p>
            <w:p w14:paraId="3699B396" w14:textId="77777777" w:rsidR="000565CE" w:rsidRDefault="000565CE" w:rsidP="000565CE">
              <w:r w:rsidRPr="000E086A">
                <w:rPr>
                  <w:rFonts w:ascii="Helvetica" w:hAnsi="Helvetica"/>
                  <w:b/>
                  <w:bCs/>
                  <w:noProof/>
                  <w:sz w:val="22"/>
                  <w:szCs w:val="22"/>
                </w:rPr>
                <w:fldChar w:fldCharType="end"/>
              </w:r>
            </w:p>
          </w:sdtContent>
        </w:sdt>
      </w:sdtContent>
    </w:sdt>
    <w:p w14:paraId="418B51F7" w14:textId="24EB9738" w:rsidR="007720F2" w:rsidRDefault="007720F2">
      <w:pPr>
        <w:rPr>
          <w:rFonts w:ascii="Helvetica" w:hAnsi="Helvetica"/>
          <w:sz w:val="22"/>
          <w:szCs w:val="22"/>
          <w:lang w:val="es-ES"/>
        </w:rPr>
      </w:pPr>
      <w:r>
        <w:rPr>
          <w:rFonts w:ascii="Helvetica" w:hAnsi="Helvetica"/>
          <w:sz w:val="22"/>
          <w:szCs w:val="22"/>
          <w:lang w:val="es-ES"/>
        </w:rPr>
        <w:br w:type="page"/>
      </w:r>
    </w:p>
    <w:p w14:paraId="7D1503C0" w14:textId="5C9DD1F9" w:rsidR="000565CE" w:rsidRDefault="007720F2" w:rsidP="00F203E7">
      <w:pPr>
        <w:pStyle w:val="Ttulo1"/>
      </w:pPr>
      <w:bookmarkStart w:id="32" w:name="_Toc52293201"/>
      <w:r>
        <w:lastRenderedPageBreak/>
        <w:t>Anexo 1. Sentencias analizadas.</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5"/>
        <w:gridCol w:w="1181"/>
        <w:gridCol w:w="1003"/>
        <w:gridCol w:w="1092"/>
        <w:gridCol w:w="763"/>
        <w:gridCol w:w="879"/>
        <w:gridCol w:w="665"/>
        <w:gridCol w:w="909"/>
        <w:gridCol w:w="1181"/>
      </w:tblGrid>
      <w:tr w:rsidR="007720F2" w:rsidRPr="009337CE" w14:paraId="0BBD5B19" w14:textId="77777777" w:rsidTr="00C64BD7">
        <w:tc>
          <w:tcPr>
            <w:tcW w:w="5000" w:type="pct"/>
            <w:gridSpan w:val="9"/>
            <w:shd w:val="clear" w:color="auto" w:fill="auto"/>
            <w:noWrap/>
            <w:vAlign w:val="center"/>
            <w:hideMark/>
          </w:tcPr>
          <w:p w14:paraId="196D28A7" w14:textId="77777777" w:rsidR="007720F2" w:rsidRPr="009337CE" w:rsidRDefault="007720F2" w:rsidP="00C64BD7">
            <w:pPr>
              <w:jc w:val="center"/>
              <w:rPr>
                <w:rFonts w:ascii="Helvetica" w:hAnsi="Helvetica"/>
                <w:b/>
                <w:bCs/>
                <w:color w:val="000000"/>
                <w:sz w:val="20"/>
                <w:szCs w:val="20"/>
              </w:rPr>
            </w:pPr>
            <w:r w:rsidRPr="009337CE">
              <w:rPr>
                <w:rFonts w:ascii="Helvetica" w:hAnsi="Helvetica"/>
                <w:b/>
                <w:bCs/>
                <w:color w:val="000000"/>
                <w:sz w:val="20"/>
                <w:szCs w:val="20"/>
              </w:rPr>
              <w:t xml:space="preserve">Aspectos generales de las </w:t>
            </w:r>
            <w:r>
              <w:rPr>
                <w:rFonts w:ascii="Helvetica" w:hAnsi="Helvetica"/>
                <w:b/>
                <w:bCs/>
                <w:color w:val="000000"/>
                <w:sz w:val="20"/>
                <w:szCs w:val="20"/>
              </w:rPr>
              <w:t>s</w:t>
            </w:r>
            <w:r w:rsidRPr="009337CE">
              <w:rPr>
                <w:rFonts w:ascii="Helvetica" w:hAnsi="Helvetica"/>
                <w:b/>
                <w:bCs/>
                <w:color w:val="000000"/>
                <w:sz w:val="20"/>
                <w:szCs w:val="20"/>
              </w:rPr>
              <w:t>entencias analizadas</w:t>
            </w:r>
          </w:p>
        </w:tc>
      </w:tr>
      <w:tr w:rsidR="007720F2" w:rsidRPr="009337CE" w14:paraId="30BB31B8" w14:textId="77777777" w:rsidTr="007720F2">
        <w:tc>
          <w:tcPr>
            <w:tcW w:w="654" w:type="pct"/>
            <w:shd w:val="clear" w:color="auto" w:fill="auto"/>
            <w:vAlign w:val="center"/>
            <w:hideMark/>
          </w:tcPr>
          <w:p w14:paraId="7A5C8C0B"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Causa penal</w:t>
            </w:r>
          </w:p>
        </w:tc>
        <w:tc>
          <w:tcPr>
            <w:tcW w:w="669" w:type="pct"/>
            <w:shd w:val="clear" w:color="auto" w:fill="auto"/>
            <w:vAlign w:val="center"/>
            <w:hideMark/>
          </w:tcPr>
          <w:p w14:paraId="4B758A84"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Órgano judicial</w:t>
            </w:r>
          </w:p>
        </w:tc>
        <w:tc>
          <w:tcPr>
            <w:tcW w:w="568" w:type="pct"/>
            <w:shd w:val="clear" w:color="auto" w:fill="auto"/>
            <w:vAlign w:val="center"/>
            <w:hideMark/>
          </w:tcPr>
          <w:p w14:paraId="774FC1FE"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Entidad de los hechos</w:t>
            </w:r>
          </w:p>
        </w:tc>
        <w:tc>
          <w:tcPr>
            <w:tcW w:w="618" w:type="pct"/>
            <w:shd w:val="clear" w:color="auto" w:fill="auto"/>
            <w:vAlign w:val="center"/>
            <w:hideMark/>
          </w:tcPr>
          <w:p w14:paraId="49D21786"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Procedencia</w:t>
            </w:r>
          </w:p>
        </w:tc>
        <w:tc>
          <w:tcPr>
            <w:tcW w:w="432" w:type="pct"/>
            <w:shd w:val="clear" w:color="auto" w:fill="auto"/>
            <w:vAlign w:val="center"/>
            <w:hideMark/>
          </w:tcPr>
          <w:p w14:paraId="1BDD3909"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Fecha de los hechos</w:t>
            </w:r>
          </w:p>
        </w:tc>
        <w:tc>
          <w:tcPr>
            <w:tcW w:w="498" w:type="pct"/>
            <w:shd w:val="clear" w:color="auto" w:fill="auto"/>
            <w:vAlign w:val="center"/>
            <w:hideMark/>
          </w:tcPr>
          <w:p w14:paraId="10E1E171"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Fecha sentencia</w:t>
            </w:r>
          </w:p>
        </w:tc>
        <w:tc>
          <w:tcPr>
            <w:tcW w:w="377" w:type="pct"/>
            <w:shd w:val="clear" w:color="auto" w:fill="auto"/>
            <w:vAlign w:val="center"/>
            <w:hideMark/>
          </w:tcPr>
          <w:p w14:paraId="4492775B"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Oral o escrito</w:t>
            </w:r>
          </w:p>
        </w:tc>
        <w:tc>
          <w:tcPr>
            <w:tcW w:w="515" w:type="pct"/>
            <w:shd w:val="clear" w:color="auto" w:fill="auto"/>
            <w:vAlign w:val="center"/>
            <w:hideMark/>
          </w:tcPr>
          <w:p w14:paraId="41F9A697"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Instancia</w:t>
            </w:r>
          </w:p>
        </w:tc>
        <w:tc>
          <w:tcPr>
            <w:tcW w:w="669" w:type="pct"/>
            <w:shd w:val="clear" w:color="auto" w:fill="auto"/>
            <w:vAlign w:val="center"/>
            <w:hideMark/>
          </w:tcPr>
          <w:p w14:paraId="2178C21A" w14:textId="77777777" w:rsidR="007720F2" w:rsidRPr="009337CE" w:rsidRDefault="007720F2" w:rsidP="00C64BD7">
            <w:pPr>
              <w:jc w:val="center"/>
              <w:rPr>
                <w:rFonts w:ascii="Helvetica" w:hAnsi="Helvetica" w:cs="Arial"/>
                <w:b/>
                <w:bCs/>
                <w:sz w:val="16"/>
                <w:szCs w:val="16"/>
              </w:rPr>
            </w:pPr>
            <w:r w:rsidRPr="009337CE">
              <w:rPr>
                <w:rFonts w:ascii="Helvetica" w:hAnsi="Helvetica" w:cs="Arial"/>
                <w:b/>
                <w:bCs/>
                <w:sz w:val="16"/>
                <w:szCs w:val="16"/>
              </w:rPr>
              <w:t>Tipo de perpetrador</w:t>
            </w:r>
          </w:p>
        </w:tc>
      </w:tr>
      <w:tr w:rsidR="007720F2" w:rsidRPr="009337CE" w14:paraId="46F8B750" w14:textId="77777777" w:rsidTr="007720F2">
        <w:tc>
          <w:tcPr>
            <w:tcW w:w="654" w:type="pct"/>
            <w:shd w:val="clear" w:color="auto" w:fill="auto"/>
            <w:noWrap/>
            <w:vAlign w:val="center"/>
            <w:hideMark/>
          </w:tcPr>
          <w:p w14:paraId="186F244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142/2003-II</w:t>
            </w:r>
          </w:p>
        </w:tc>
        <w:tc>
          <w:tcPr>
            <w:tcW w:w="669" w:type="pct"/>
            <w:shd w:val="clear" w:color="auto" w:fill="auto"/>
            <w:vAlign w:val="center"/>
            <w:hideMark/>
          </w:tcPr>
          <w:p w14:paraId="7ACEA53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Sexto de Distrito en Guanajuato</w:t>
            </w:r>
          </w:p>
        </w:tc>
        <w:tc>
          <w:tcPr>
            <w:tcW w:w="568" w:type="pct"/>
            <w:shd w:val="clear" w:color="auto" w:fill="auto"/>
            <w:noWrap/>
            <w:vAlign w:val="center"/>
            <w:hideMark/>
          </w:tcPr>
          <w:p w14:paraId="64A5BD8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Guanajuato</w:t>
            </w:r>
          </w:p>
        </w:tc>
        <w:tc>
          <w:tcPr>
            <w:tcW w:w="618" w:type="pct"/>
            <w:shd w:val="clear" w:color="auto" w:fill="auto"/>
            <w:noWrap/>
            <w:vAlign w:val="center"/>
            <w:hideMark/>
          </w:tcPr>
          <w:p w14:paraId="45657A1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610A13E8"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14/07/03</w:t>
            </w:r>
          </w:p>
        </w:tc>
        <w:tc>
          <w:tcPr>
            <w:tcW w:w="498" w:type="pct"/>
            <w:shd w:val="clear" w:color="auto" w:fill="auto"/>
            <w:noWrap/>
            <w:vAlign w:val="center"/>
            <w:hideMark/>
          </w:tcPr>
          <w:p w14:paraId="5AAA8AAA"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11/05/05</w:t>
            </w:r>
          </w:p>
        </w:tc>
        <w:tc>
          <w:tcPr>
            <w:tcW w:w="377" w:type="pct"/>
            <w:shd w:val="clear" w:color="auto" w:fill="auto"/>
            <w:noWrap/>
            <w:vAlign w:val="center"/>
            <w:hideMark/>
          </w:tcPr>
          <w:p w14:paraId="5B967E5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377A9120"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741E3C3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4A6058DF" w14:textId="77777777" w:rsidTr="007720F2">
        <w:tc>
          <w:tcPr>
            <w:tcW w:w="654" w:type="pct"/>
            <w:shd w:val="clear" w:color="auto" w:fill="auto"/>
            <w:noWrap/>
            <w:vAlign w:val="center"/>
            <w:hideMark/>
          </w:tcPr>
          <w:p w14:paraId="4E9D4DD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II-72/2005</w:t>
            </w:r>
          </w:p>
        </w:tc>
        <w:tc>
          <w:tcPr>
            <w:tcW w:w="669" w:type="pct"/>
            <w:shd w:val="clear" w:color="auto" w:fill="auto"/>
            <w:vAlign w:val="center"/>
            <w:hideMark/>
          </w:tcPr>
          <w:p w14:paraId="03C0A39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Primero de Distrito en el Estado de Michoacán</w:t>
            </w:r>
          </w:p>
        </w:tc>
        <w:tc>
          <w:tcPr>
            <w:tcW w:w="568" w:type="pct"/>
            <w:shd w:val="clear" w:color="auto" w:fill="auto"/>
            <w:noWrap/>
            <w:vAlign w:val="center"/>
            <w:hideMark/>
          </w:tcPr>
          <w:p w14:paraId="1050102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Michoacán</w:t>
            </w:r>
          </w:p>
        </w:tc>
        <w:tc>
          <w:tcPr>
            <w:tcW w:w="618" w:type="pct"/>
            <w:shd w:val="clear" w:color="auto" w:fill="auto"/>
            <w:noWrap/>
            <w:vAlign w:val="center"/>
            <w:hideMark/>
          </w:tcPr>
          <w:p w14:paraId="6A886229"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0D2AAF5E"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ND</w:t>
            </w:r>
          </w:p>
        </w:tc>
        <w:tc>
          <w:tcPr>
            <w:tcW w:w="498" w:type="pct"/>
            <w:shd w:val="clear" w:color="auto" w:fill="auto"/>
            <w:noWrap/>
            <w:vAlign w:val="center"/>
            <w:hideMark/>
          </w:tcPr>
          <w:p w14:paraId="39964EEA"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14/12/05</w:t>
            </w:r>
          </w:p>
        </w:tc>
        <w:tc>
          <w:tcPr>
            <w:tcW w:w="377" w:type="pct"/>
            <w:shd w:val="clear" w:color="auto" w:fill="auto"/>
            <w:noWrap/>
            <w:vAlign w:val="center"/>
            <w:hideMark/>
          </w:tcPr>
          <w:p w14:paraId="565E2F76"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764FB481"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6ACCB59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644DCEB1" w14:textId="77777777" w:rsidTr="007720F2">
        <w:tc>
          <w:tcPr>
            <w:tcW w:w="654" w:type="pct"/>
            <w:shd w:val="clear" w:color="auto" w:fill="auto"/>
            <w:noWrap/>
            <w:vAlign w:val="center"/>
            <w:hideMark/>
          </w:tcPr>
          <w:p w14:paraId="6D3E413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27/2005-IV</w:t>
            </w:r>
          </w:p>
        </w:tc>
        <w:tc>
          <w:tcPr>
            <w:tcW w:w="669" w:type="pct"/>
            <w:shd w:val="clear" w:color="auto" w:fill="auto"/>
            <w:vAlign w:val="center"/>
            <w:hideMark/>
          </w:tcPr>
          <w:p w14:paraId="0858015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 xml:space="preserve">Juzgado Sexto de Distrito de Procesos Penales Federales </w:t>
            </w:r>
          </w:p>
        </w:tc>
        <w:tc>
          <w:tcPr>
            <w:tcW w:w="568" w:type="pct"/>
            <w:shd w:val="clear" w:color="auto" w:fill="auto"/>
            <w:noWrap/>
            <w:vAlign w:val="center"/>
            <w:hideMark/>
          </w:tcPr>
          <w:p w14:paraId="333943B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Jalisco</w:t>
            </w:r>
          </w:p>
        </w:tc>
        <w:tc>
          <w:tcPr>
            <w:tcW w:w="618" w:type="pct"/>
            <w:shd w:val="clear" w:color="auto" w:fill="auto"/>
            <w:noWrap/>
            <w:vAlign w:val="center"/>
            <w:hideMark/>
          </w:tcPr>
          <w:p w14:paraId="36E6E79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53507E13"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ND</w:t>
            </w:r>
          </w:p>
        </w:tc>
        <w:tc>
          <w:tcPr>
            <w:tcW w:w="498" w:type="pct"/>
            <w:shd w:val="clear" w:color="auto" w:fill="auto"/>
            <w:noWrap/>
            <w:vAlign w:val="center"/>
            <w:hideMark/>
          </w:tcPr>
          <w:p w14:paraId="52018B66"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10/05/06</w:t>
            </w:r>
          </w:p>
        </w:tc>
        <w:tc>
          <w:tcPr>
            <w:tcW w:w="377" w:type="pct"/>
            <w:shd w:val="clear" w:color="auto" w:fill="auto"/>
            <w:noWrap/>
            <w:vAlign w:val="center"/>
            <w:hideMark/>
          </w:tcPr>
          <w:p w14:paraId="204DA27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5D5F9ED4"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385D09C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56016650" w14:textId="77777777" w:rsidTr="007720F2">
        <w:tc>
          <w:tcPr>
            <w:tcW w:w="654" w:type="pct"/>
            <w:shd w:val="clear" w:color="auto" w:fill="auto"/>
            <w:noWrap/>
            <w:vAlign w:val="center"/>
            <w:hideMark/>
          </w:tcPr>
          <w:p w14:paraId="17FF589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159/2005 IV</w:t>
            </w:r>
          </w:p>
        </w:tc>
        <w:tc>
          <w:tcPr>
            <w:tcW w:w="669" w:type="pct"/>
            <w:shd w:val="clear" w:color="auto" w:fill="auto"/>
            <w:vAlign w:val="center"/>
            <w:hideMark/>
          </w:tcPr>
          <w:p w14:paraId="39F7194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Quinto de Distrito en el Estado de Chihuahua</w:t>
            </w:r>
          </w:p>
        </w:tc>
        <w:tc>
          <w:tcPr>
            <w:tcW w:w="568" w:type="pct"/>
            <w:shd w:val="clear" w:color="auto" w:fill="auto"/>
            <w:noWrap/>
            <w:vAlign w:val="center"/>
            <w:hideMark/>
          </w:tcPr>
          <w:p w14:paraId="5790E8D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noWrap/>
            <w:vAlign w:val="center"/>
            <w:hideMark/>
          </w:tcPr>
          <w:p w14:paraId="6D41879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05FAFBD5"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29/09/05</w:t>
            </w:r>
          </w:p>
        </w:tc>
        <w:tc>
          <w:tcPr>
            <w:tcW w:w="498" w:type="pct"/>
            <w:shd w:val="clear" w:color="auto" w:fill="auto"/>
            <w:noWrap/>
            <w:vAlign w:val="center"/>
            <w:hideMark/>
          </w:tcPr>
          <w:p w14:paraId="089BBD60"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14/11/06</w:t>
            </w:r>
          </w:p>
        </w:tc>
        <w:tc>
          <w:tcPr>
            <w:tcW w:w="377" w:type="pct"/>
            <w:shd w:val="clear" w:color="auto" w:fill="auto"/>
            <w:noWrap/>
            <w:vAlign w:val="center"/>
            <w:hideMark/>
          </w:tcPr>
          <w:p w14:paraId="59BCB8A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3805DCE1"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53F76C4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12F44432" w14:textId="77777777" w:rsidTr="007720F2">
        <w:tc>
          <w:tcPr>
            <w:tcW w:w="654" w:type="pct"/>
            <w:shd w:val="clear" w:color="auto" w:fill="auto"/>
            <w:noWrap/>
            <w:vAlign w:val="center"/>
            <w:hideMark/>
          </w:tcPr>
          <w:p w14:paraId="0EBEDD56"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179/2006</w:t>
            </w:r>
          </w:p>
        </w:tc>
        <w:tc>
          <w:tcPr>
            <w:tcW w:w="669" w:type="pct"/>
            <w:shd w:val="clear" w:color="auto" w:fill="auto"/>
            <w:vAlign w:val="center"/>
            <w:hideMark/>
          </w:tcPr>
          <w:p w14:paraId="4B3DF0A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Noveno de Distrito del Estado de Sinaloa</w:t>
            </w:r>
          </w:p>
        </w:tc>
        <w:tc>
          <w:tcPr>
            <w:tcW w:w="568" w:type="pct"/>
            <w:shd w:val="clear" w:color="auto" w:fill="auto"/>
            <w:noWrap/>
            <w:vAlign w:val="center"/>
            <w:hideMark/>
          </w:tcPr>
          <w:p w14:paraId="22460A4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Sinaloa</w:t>
            </w:r>
          </w:p>
        </w:tc>
        <w:tc>
          <w:tcPr>
            <w:tcW w:w="618" w:type="pct"/>
            <w:shd w:val="clear" w:color="auto" w:fill="auto"/>
            <w:noWrap/>
            <w:vAlign w:val="center"/>
            <w:hideMark/>
          </w:tcPr>
          <w:p w14:paraId="740587A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13312806"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12/09/77</w:t>
            </w:r>
          </w:p>
        </w:tc>
        <w:tc>
          <w:tcPr>
            <w:tcW w:w="498" w:type="pct"/>
            <w:shd w:val="clear" w:color="auto" w:fill="auto"/>
            <w:noWrap/>
            <w:vAlign w:val="center"/>
            <w:hideMark/>
          </w:tcPr>
          <w:p w14:paraId="5FD91D75"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30/09/09</w:t>
            </w:r>
          </w:p>
        </w:tc>
        <w:tc>
          <w:tcPr>
            <w:tcW w:w="377" w:type="pct"/>
            <w:shd w:val="clear" w:color="auto" w:fill="auto"/>
            <w:noWrap/>
            <w:vAlign w:val="center"/>
            <w:hideMark/>
          </w:tcPr>
          <w:p w14:paraId="274C02F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2A19D7E8"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3C7C988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78BFE4B0" w14:textId="77777777" w:rsidTr="007720F2">
        <w:tc>
          <w:tcPr>
            <w:tcW w:w="654" w:type="pct"/>
            <w:shd w:val="clear" w:color="auto" w:fill="auto"/>
            <w:noWrap/>
            <w:vAlign w:val="center"/>
            <w:hideMark/>
          </w:tcPr>
          <w:p w14:paraId="3FE8DAC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20/2005-I</w:t>
            </w:r>
          </w:p>
        </w:tc>
        <w:tc>
          <w:tcPr>
            <w:tcW w:w="669" w:type="pct"/>
            <w:shd w:val="clear" w:color="auto" w:fill="auto"/>
            <w:vAlign w:val="center"/>
            <w:hideMark/>
          </w:tcPr>
          <w:p w14:paraId="631DC90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Primero de Distrito en Procesos Penales</w:t>
            </w:r>
          </w:p>
        </w:tc>
        <w:tc>
          <w:tcPr>
            <w:tcW w:w="568" w:type="pct"/>
            <w:shd w:val="clear" w:color="auto" w:fill="auto"/>
            <w:noWrap/>
            <w:vAlign w:val="center"/>
            <w:hideMark/>
          </w:tcPr>
          <w:p w14:paraId="08B4F47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CDMX</w:t>
            </w:r>
          </w:p>
        </w:tc>
        <w:tc>
          <w:tcPr>
            <w:tcW w:w="618" w:type="pct"/>
            <w:shd w:val="clear" w:color="auto" w:fill="auto"/>
            <w:noWrap/>
            <w:vAlign w:val="center"/>
            <w:hideMark/>
          </w:tcPr>
          <w:p w14:paraId="21146A6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2742C916"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15/03/02</w:t>
            </w:r>
          </w:p>
        </w:tc>
        <w:tc>
          <w:tcPr>
            <w:tcW w:w="498" w:type="pct"/>
            <w:shd w:val="clear" w:color="auto" w:fill="auto"/>
            <w:noWrap/>
            <w:vAlign w:val="center"/>
            <w:hideMark/>
          </w:tcPr>
          <w:p w14:paraId="48291866"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30/06/10</w:t>
            </w:r>
          </w:p>
        </w:tc>
        <w:tc>
          <w:tcPr>
            <w:tcW w:w="377" w:type="pct"/>
            <w:shd w:val="clear" w:color="auto" w:fill="auto"/>
            <w:noWrap/>
            <w:vAlign w:val="center"/>
            <w:hideMark/>
          </w:tcPr>
          <w:p w14:paraId="6B99DED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0907AE03"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06AB67F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2221C255" w14:textId="77777777" w:rsidTr="007720F2">
        <w:tc>
          <w:tcPr>
            <w:tcW w:w="654" w:type="pct"/>
            <w:shd w:val="clear" w:color="auto" w:fill="auto"/>
            <w:noWrap/>
            <w:vAlign w:val="center"/>
            <w:hideMark/>
          </w:tcPr>
          <w:p w14:paraId="74B52719"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87/2011</w:t>
            </w:r>
          </w:p>
        </w:tc>
        <w:tc>
          <w:tcPr>
            <w:tcW w:w="669" w:type="pct"/>
            <w:shd w:val="clear" w:color="auto" w:fill="auto"/>
            <w:vAlign w:val="center"/>
            <w:hideMark/>
          </w:tcPr>
          <w:p w14:paraId="64A9F15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Séptimo de Distrito en el Estado de Sonora</w:t>
            </w:r>
          </w:p>
        </w:tc>
        <w:tc>
          <w:tcPr>
            <w:tcW w:w="568" w:type="pct"/>
            <w:shd w:val="clear" w:color="auto" w:fill="auto"/>
            <w:noWrap/>
            <w:vAlign w:val="center"/>
            <w:hideMark/>
          </w:tcPr>
          <w:p w14:paraId="669BF81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Sonora</w:t>
            </w:r>
          </w:p>
        </w:tc>
        <w:tc>
          <w:tcPr>
            <w:tcW w:w="618" w:type="pct"/>
            <w:shd w:val="clear" w:color="auto" w:fill="auto"/>
            <w:noWrap/>
            <w:vAlign w:val="center"/>
            <w:hideMark/>
          </w:tcPr>
          <w:p w14:paraId="088A26C9"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36FEB3FA"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ND</w:t>
            </w:r>
          </w:p>
        </w:tc>
        <w:tc>
          <w:tcPr>
            <w:tcW w:w="498" w:type="pct"/>
            <w:shd w:val="clear" w:color="auto" w:fill="auto"/>
            <w:noWrap/>
            <w:vAlign w:val="center"/>
            <w:hideMark/>
          </w:tcPr>
          <w:p w14:paraId="644B582F"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15/11/13</w:t>
            </w:r>
          </w:p>
        </w:tc>
        <w:tc>
          <w:tcPr>
            <w:tcW w:w="377" w:type="pct"/>
            <w:shd w:val="clear" w:color="auto" w:fill="auto"/>
            <w:noWrap/>
            <w:vAlign w:val="center"/>
            <w:hideMark/>
          </w:tcPr>
          <w:p w14:paraId="3982DF29"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6CB80ACC"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6B832B5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15E15A66" w14:textId="77777777" w:rsidTr="007720F2">
        <w:tc>
          <w:tcPr>
            <w:tcW w:w="654" w:type="pct"/>
            <w:shd w:val="clear" w:color="auto" w:fill="auto"/>
            <w:noWrap/>
            <w:vAlign w:val="center"/>
            <w:hideMark/>
          </w:tcPr>
          <w:p w14:paraId="0428ECC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28/2012</w:t>
            </w:r>
          </w:p>
        </w:tc>
        <w:tc>
          <w:tcPr>
            <w:tcW w:w="669" w:type="pct"/>
            <w:shd w:val="clear" w:color="auto" w:fill="auto"/>
            <w:vAlign w:val="center"/>
            <w:hideMark/>
          </w:tcPr>
          <w:p w14:paraId="310F729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Tercero de Distrito en el Estado de Oaxaca</w:t>
            </w:r>
          </w:p>
        </w:tc>
        <w:tc>
          <w:tcPr>
            <w:tcW w:w="568" w:type="pct"/>
            <w:shd w:val="clear" w:color="auto" w:fill="auto"/>
            <w:noWrap/>
            <w:vAlign w:val="center"/>
            <w:hideMark/>
          </w:tcPr>
          <w:p w14:paraId="38ABF9D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Oaxaca</w:t>
            </w:r>
          </w:p>
        </w:tc>
        <w:tc>
          <w:tcPr>
            <w:tcW w:w="618" w:type="pct"/>
            <w:shd w:val="clear" w:color="auto" w:fill="auto"/>
            <w:noWrap/>
            <w:vAlign w:val="center"/>
            <w:hideMark/>
          </w:tcPr>
          <w:p w14:paraId="389BEDD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51012BCC"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09/02/12</w:t>
            </w:r>
          </w:p>
        </w:tc>
        <w:tc>
          <w:tcPr>
            <w:tcW w:w="498" w:type="pct"/>
            <w:shd w:val="clear" w:color="auto" w:fill="auto"/>
            <w:noWrap/>
            <w:vAlign w:val="center"/>
            <w:hideMark/>
          </w:tcPr>
          <w:p w14:paraId="34FA1C42"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03/06/14</w:t>
            </w:r>
          </w:p>
        </w:tc>
        <w:tc>
          <w:tcPr>
            <w:tcW w:w="377" w:type="pct"/>
            <w:shd w:val="clear" w:color="auto" w:fill="auto"/>
            <w:noWrap/>
            <w:vAlign w:val="center"/>
            <w:hideMark/>
          </w:tcPr>
          <w:p w14:paraId="7A1AE01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74131968"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1BC2A93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2198365F" w14:textId="77777777" w:rsidTr="007720F2">
        <w:tc>
          <w:tcPr>
            <w:tcW w:w="654" w:type="pct"/>
            <w:shd w:val="clear" w:color="auto" w:fill="auto"/>
            <w:vAlign w:val="center"/>
            <w:hideMark/>
          </w:tcPr>
          <w:p w14:paraId="0155CB3B"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554/11</w:t>
            </w:r>
          </w:p>
        </w:tc>
        <w:tc>
          <w:tcPr>
            <w:tcW w:w="669" w:type="pct"/>
            <w:shd w:val="clear" w:color="auto" w:fill="auto"/>
            <w:vAlign w:val="center"/>
            <w:hideMark/>
          </w:tcPr>
          <w:p w14:paraId="5362578C"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Tribunal de Juicio Oral en lo Penal del Distrito Judicial Bravos</w:t>
            </w:r>
          </w:p>
        </w:tc>
        <w:tc>
          <w:tcPr>
            <w:tcW w:w="568" w:type="pct"/>
            <w:shd w:val="clear" w:color="auto" w:fill="auto"/>
            <w:vAlign w:val="center"/>
            <w:hideMark/>
          </w:tcPr>
          <w:p w14:paraId="7EC569C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vAlign w:val="center"/>
            <w:hideMark/>
          </w:tcPr>
          <w:p w14:paraId="7677ED6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vAlign w:val="center"/>
            <w:hideMark/>
          </w:tcPr>
          <w:p w14:paraId="71DA8644"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26/03/11</w:t>
            </w:r>
          </w:p>
        </w:tc>
        <w:tc>
          <w:tcPr>
            <w:tcW w:w="498" w:type="pct"/>
            <w:shd w:val="clear" w:color="auto" w:fill="auto"/>
            <w:vAlign w:val="center"/>
            <w:hideMark/>
          </w:tcPr>
          <w:p w14:paraId="675DCB6C"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10/11/14</w:t>
            </w:r>
          </w:p>
        </w:tc>
        <w:tc>
          <w:tcPr>
            <w:tcW w:w="377" w:type="pct"/>
            <w:shd w:val="clear" w:color="auto" w:fill="auto"/>
            <w:vAlign w:val="center"/>
            <w:hideMark/>
          </w:tcPr>
          <w:p w14:paraId="1451DDA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Oral</w:t>
            </w:r>
          </w:p>
        </w:tc>
        <w:tc>
          <w:tcPr>
            <w:tcW w:w="515" w:type="pct"/>
            <w:shd w:val="clear" w:color="auto" w:fill="auto"/>
            <w:vAlign w:val="center"/>
            <w:hideMark/>
          </w:tcPr>
          <w:p w14:paraId="23B12D55"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5F24CB4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5E4FD11C" w14:textId="77777777" w:rsidTr="007720F2">
        <w:tc>
          <w:tcPr>
            <w:tcW w:w="654" w:type="pct"/>
            <w:shd w:val="clear" w:color="auto" w:fill="auto"/>
            <w:noWrap/>
            <w:vAlign w:val="center"/>
            <w:hideMark/>
          </w:tcPr>
          <w:p w14:paraId="676A957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257/2012-IV-8</w:t>
            </w:r>
          </w:p>
        </w:tc>
        <w:tc>
          <w:tcPr>
            <w:tcW w:w="669" w:type="pct"/>
            <w:shd w:val="clear" w:color="auto" w:fill="auto"/>
            <w:vAlign w:val="center"/>
            <w:hideMark/>
          </w:tcPr>
          <w:p w14:paraId="7EF567A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Quinto de Distrito en el Estado de Chihuahua</w:t>
            </w:r>
          </w:p>
        </w:tc>
        <w:tc>
          <w:tcPr>
            <w:tcW w:w="568" w:type="pct"/>
            <w:shd w:val="clear" w:color="auto" w:fill="auto"/>
            <w:noWrap/>
            <w:vAlign w:val="center"/>
            <w:hideMark/>
          </w:tcPr>
          <w:p w14:paraId="27962E96"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noWrap/>
            <w:vAlign w:val="center"/>
            <w:hideMark/>
          </w:tcPr>
          <w:p w14:paraId="4785FDE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7A6A0604"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22/07/11</w:t>
            </w:r>
          </w:p>
        </w:tc>
        <w:tc>
          <w:tcPr>
            <w:tcW w:w="498" w:type="pct"/>
            <w:shd w:val="clear" w:color="auto" w:fill="auto"/>
            <w:noWrap/>
            <w:vAlign w:val="center"/>
            <w:hideMark/>
          </w:tcPr>
          <w:p w14:paraId="5075C0C3"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31/07/15</w:t>
            </w:r>
          </w:p>
        </w:tc>
        <w:tc>
          <w:tcPr>
            <w:tcW w:w="377" w:type="pct"/>
            <w:shd w:val="clear" w:color="auto" w:fill="auto"/>
            <w:noWrap/>
            <w:vAlign w:val="center"/>
            <w:hideMark/>
          </w:tcPr>
          <w:p w14:paraId="5070D5A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13C229B6"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1AC6F91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72E7B9A1" w14:textId="77777777" w:rsidTr="007720F2">
        <w:tc>
          <w:tcPr>
            <w:tcW w:w="654" w:type="pct"/>
            <w:shd w:val="clear" w:color="auto" w:fill="auto"/>
            <w:noWrap/>
            <w:vAlign w:val="center"/>
            <w:hideMark/>
          </w:tcPr>
          <w:p w14:paraId="3715F78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104/2013-V</w:t>
            </w:r>
          </w:p>
        </w:tc>
        <w:tc>
          <w:tcPr>
            <w:tcW w:w="669" w:type="pct"/>
            <w:shd w:val="clear" w:color="auto" w:fill="auto"/>
            <w:vAlign w:val="center"/>
            <w:hideMark/>
          </w:tcPr>
          <w:p w14:paraId="60C53C59"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Primero de Distrito en el Estado de Nuevo León</w:t>
            </w:r>
          </w:p>
        </w:tc>
        <w:tc>
          <w:tcPr>
            <w:tcW w:w="568" w:type="pct"/>
            <w:shd w:val="clear" w:color="auto" w:fill="auto"/>
            <w:noWrap/>
            <w:vAlign w:val="center"/>
            <w:hideMark/>
          </w:tcPr>
          <w:p w14:paraId="09A9016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Nuevo León</w:t>
            </w:r>
          </w:p>
        </w:tc>
        <w:tc>
          <w:tcPr>
            <w:tcW w:w="618" w:type="pct"/>
            <w:shd w:val="clear" w:color="auto" w:fill="auto"/>
            <w:noWrap/>
            <w:vAlign w:val="center"/>
            <w:hideMark/>
          </w:tcPr>
          <w:p w14:paraId="33A82C9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55C3FBC4"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20/05/12</w:t>
            </w:r>
          </w:p>
        </w:tc>
        <w:tc>
          <w:tcPr>
            <w:tcW w:w="498" w:type="pct"/>
            <w:shd w:val="clear" w:color="auto" w:fill="auto"/>
            <w:noWrap/>
            <w:vAlign w:val="center"/>
            <w:hideMark/>
          </w:tcPr>
          <w:p w14:paraId="5A9E76A7"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18/08/15</w:t>
            </w:r>
          </w:p>
        </w:tc>
        <w:tc>
          <w:tcPr>
            <w:tcW w:w="377" w:type="pct"/>
            <w:shd w:val="clear" w:color="auto" w:fill="auto"/>
            <w:noWrap/>
            <w:vAlign w:val="center"/>
            <w:hideMark/>
          </w:tcPr>
          <w:p w14:paraId="0C3AC67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45DC0531"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24BFF35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55183A21" w14:textId="77777777" w:rsidTr="007720F2">
        <w:tc>
          <w:tcPr>
            <w:tcW w:w="654" w:type="pct"/>
            <w:shd w:val="clear" w:color="auto" w:fill="auto"/>
            <w:noWrap/>
            <w:vAlign w:val="center"/>
            <w:hideMark/>
          </w:tcPr>
          <w:p w14:paraId="3EC951F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41/2013-1</w:t>
            </w:r>
          </w:p>
        </w:tc>
        <w:tc>
          <w:tcPr>
            <w:tcW w:w="669" w:type="pct"/>
            <w:shd w:val="clear" w:color="auto" w:fill="auto"/>
            <w:vAlign w:val="center"/>
            <w:hideMark/>
          </w:tcPr>
          <w:p w14:paraId="4C597F8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 xml:space="preserve">Juzgado Segundo de Distrito en materia Penal </w:t>
            </w:r>
            <w:r w:rsidRPr="009337CE">
              <w:rPr>
                <w:rFonts w:ascii="Helvetica" w:hAnsi="Helvetica" w:cs="Arial"/>
                <w:sz w:val="16"/>
                <w:szCs w:val="16"/>
              </w:rPr>
              <w:lastRenderedPageBreak/>
              <w:t>en el Estado de Nuevo León</w:t>
            </w:r>
          </w:p>
        </w:tc>
        <w:tc>
          <w:tcPr>
            <w:tcW w:w="568" w:type="pct"/>
            <w:shd w:val="clear" w:color="auto" w:fill="auto"/>
            <w:noWrap/>
            <w:vAlign w:val="center"/>
            <w:hideMark/>
          </w:tcPr>
          <w:p w14:paraId="207DB33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lastRenderedPageBreak/>
              <w:t>Nuevo León</w:t>
            </w:r>
          </w:p>
        </w:tc>
        <w:tc>
          <w:tcPr>
            <w:tcW w:w="618" w:type="pct"/>
            <w:shd w:val="clear" w:color="auto" w:fill="auto"/>
            <w:noWrap/>
            <w:vAlign w:val="center"/>
            <w:hideMark/>
          </w:tcPr>
          <w:p w14:paraId="114FEFD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42AFBAF4"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16/02/13</w:t>
            </w:r>
          </w:p>
        </w:tc>
        <w:tc>
          <w:tcPr>
            <w:tcW w:w="498" w:type="pct"/>
            <w:shd w:val="clear" w:color="auto" w:fill="auto"/>
            <w:noWrap/>
            <w:vAlign w:val="center"/>
            <w:hideMark/>
          </w:tcPr>
          <w:p w14:paraId="6AA40BEA"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30/09/15</w:t>
            </w:r>
          </w:p>
        </w:tc>
        <w:tc>
          <w:tcPr>
            <w:tcW w:w="377" w:type="pct"/>
            <w:shd w:val="clear" w:color="auto" w:fill="auto"/>
            <w:noWrap/>
            <w:vAlign w:val="center"/>
            <w:hideMark/>
          </w:tcPr>
          <w:p w14:paraId="3269F1B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256ACDED"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0D6ACBC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365B1FC4" w14:textId="77777777" w:rsidTr="007720F2">
        <w:tc>
          <w:tcPr>
            <w:tcW w:w="654" w:type="pct"/>
            <w:shd w:val="clear" w:color="auto" w:fill="auto"/>
            <w:vAlign w:val="center"/>
            <w:hideMark/>
          </w:tcPr>
          <w:p w14:paraId="1D7ADD9B" w14:textId="77777777" w:rsidR="007720F2" w:rsidRPr="009337CE" w:rsidRDefault="007720F2" w:rsidP="00C64BD7">
            <w:pPr>
              <w:rPr>
                <w:rFonts w:ascii="Helvetica" w:hAnsi="Helvetica" w:cs="Arial"/>
                <w:sz w:val="16"/>
                <w:szCs w:val="16"/>
              </w:rPr>
            </w:pPr>
            <w:r>
              <w:rPr>
                <w:rFonts w:ascii="Helvetica" w:hAnsi="Helvetica" w:cs="Arial"/>
                <w:sz w:val="16"/>
                <w:szCs w:val="16"/>
              </w:rPr>
              <w:t>41/2014 y acumulados</w:t>
            </w:r>
          </w:p>
        </w:tc>
        <w:tc>
          <w:tcPr>
            <w:tcW w:w="669" w:type="pct"/>
            <w:shd w:val="clear" w:color="auto" w:fill="auto"/>
            <w:vAlign w:val="center"/>
            <w:hideMark/>
          </w:tcPr>
          <w:p w14:paraId="0D944014"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Tribunal de Juicio Oral en lo Penal con adscripción en los Distritos Judiciales Abraham González, Camargo y Jiménez</w:t>
            </w:r>
          </w:p>
        </w:tc>
        <w:tc>
          <w:tcPr>
            <w:tcW w:w="568" w:type="pct"/>
            <w:shd w:val="clear" w:color="auto" w:fill="auto"/>
            <w:vAlign w:val="center"/>
            <w:hideMark/>
          </w:tcPr>
          <w:p w14:paraId="0B6AFEA9"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Chihuahua</w:t>
            </w:r>
          </w:p>
        </w:tc>
        <w:tc>
          <w:tcPr>
            <w:tcW w:w="618" w:type="pct"/>
            <w:shd w:val="clear" w:color="auto" w:fill="auto"/>
            <w:vAlign w:val="center"/>
            <w:hideMark/>
          </w:tcPr>
          <w:p w14:paraId="22B84022"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Local</w:t>
            </w:r>
          </w:p>
        </w:tc>
        <w:tc>
          <w:tcPr>
            <w:tcW w:w="432" w:type="pct"/>
            <w:shd w:val="clear" w:color="auto" w:fill="auto"/>
            <w:vAlign w:val="center"/>
            <w:hideMark/>
          </w:tcPr>
          <w:p w14:paraId="11812EAC"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02/12/12</w:t>
            </w:r>
          </w:p>
        </w:tc>
        <w:tc>
          <w:tcPr>
            <w:tcW w:w="498" w:type="pct"/>
            <w:shd w:val="clear" w:color="auto" w:fill="auto"/>
            <w:vAlign w:val="center"/>
            <w:hideMark/>
          </w:tcPr>
          <w:p w14:paraId="23E8398E"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12/04/16</w:t>
            </w:r>
          </w:p>
        </w:tc>
        <w:tc>
          <w:tcPr>
            <w:tcW w:w="377" w:type="pct"/>
            <w:shd w:val="clear" w:color="auto" w:fill="auto"/>
            <w:vAlign w:val="center"/>
            <w:hideMark/>
          </w:tcPr>
          <w:p w14:paraId="1EF4B17D"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Oral</w:t>
            </w:r>
          </w:p>
        </w:tc>
        <w:tc>
          <w:tcPr>
            <w:tcW w:w="515" w:type="pct"/>
            <w:shd w:val="clear" w:color="auto" w:fill="auto"/>
            <w:vAlign w:val="center"/>
            <w:hideMark/>
          </w:tcPr>
          <w:p w14:paraId="2C49C507" w14:textId="77777777" w:rsidR="007720F2" w:rsidRPr="009337CE" w:rsidRDefault="007720F2" w:rsidP="00C64BD7">
            <w:pPr>
              <w:jc w:val="center"/>
              <w:rPr>
                <w:rFonts w:ascii="Helvetica" w:hAnsi="Helvetica" w:cs="Arial"/>
                <w:color w:val="000000"/>
                <w:sz w:val="16"/>
                <w:szCs w:val="16"/>
              </w:rPr>
            </w:pPr>
            <w:r w:rsidRPr="009337CE">
              <w:rPr>
                <w:rFonts w:ascii="Helvetica" w:hAnsi="Helvetica" w:cs="Arial"/>
                <w:color w:val="000000"/>
                <w:sz w:val="16"/>
                <w:szCs w:val="16"/>
              </w:rPr>
              <w:t>Primera</w:t>
            </w:r>
          </w:p>
        </w:tc>
        <w:tc>
          <w:tcPr>
            <w:tcW w:w="669" w:type="pct"/>
            <w:shd w:val="clear" w:color="auto" w:fill="auto"/>
            <w:noWrap/>
            <w:vAlign w:val="center"/>
            <w:hideMark/>
          </w:tcPr>
          <w:p w14:paraId="2518755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682FE6F2" w14:textId="77777777" w:rsidTr="007720F2">
        <w:tc>
          <w:tcPr>
            <w:tcW w:w="654" w:type="pct"/>
            <w:shd w:val="clear" w:color="auto" w:fill="auto"/>
            <w:vAlign w:val="center"/>
            <w:hideMark/>
          </w:tcPr>
          <w:p w14:paraId="60DE77C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255/13 y acumulada  263/2013-III</w:t>
            </w:r>
          </w:p>
        </w:tc>
        <w:tc>
          <w:tcPr>
            <w:tcW w:w="669" w:type="pct"/>
            <w:shd w:val="clear" w:color="auto" w:fill="auto"/>
            <w:vAlign w:val="center"/>
            <w:hideMark/>
          </w:tcPr>
          <w:p w14:paraId="51A5AB0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 xml:space="preserve">Juzgado Sexto de Distrito de Procesos Penales Federales </w:t>
            </w:r>
          </w:p>
        </w:tc>
        <w:tc>
          <w:tcPr>
            <w:tcW w:w="568" w:type="pct"/>
            <w:shd w:val="clear" w:color="auto" w:fill="auto"/>
            <w:noWrap/>
            <w:vAlign w:val="center"/>
            <w:hideMark/>
          </w:tcPr>
          <w:p w14:paraId="5B9F7CB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Jalisco</w:t>
            </w:r>
          </w:p>
        </w:tc>
        <w:tc>
          <w:tcPr>
            <w:tcW w:w="618" w:type="pct"/>
            <w:shd w:val="clear" w:color="auto" w:fill="auto"/>
            <w:noWrap/>
            <w:vAlign w:val="center"/>
            <w:hideMark/>
          </w:tcPr>
          <w:p w14:paraId="1081644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4EF00CA5"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01/10/10</w:t>
            </w:r>
          </w:p>
        </w:tc>
        <w:tc>
          <w:tcPr>
            <w:tcW w:w="498" w:type="pct"/>
            <w:shd w:val="clear" w:color="auto" w:fill="auto"/>
            <w:noWrap/>
            <w:vAlign w:val="center"/>
            <w:hideMark/>
          </w:tcPr>
          <w:p w14:paraId="6A21F985"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26/04/16</w:t>
            </w:r>
          </w:p>
        </w:tc>
        <w:tc>
          <w:tcPr>
            <w:tcW w:w="377" w:type="pct"/>
            <w:shd w:val="clear" w:color="auto" w:fill="auto"/>
            <w:noWrap/>
            <w:vAlign w:val="center"/>
            <w:hideMark/>
          </w:tcPr>
          <w:p w14:paraId="346E4C8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067A3EB2"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1AC3E4D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5BCEDC29" w14:textId="77777777" w:rsidTr="007720F2">
        <w:tc>
          <w:tcPr>
            <w:tcW w:w="654" w:type="pct"/>
            <w:shd w:val="clear" w:color="auto" w:fill="auto"/>
            <w:noWrap/>
            <w:vAlign w:val="center"/>
            <w:hideMark/>
          </w:tcPr>
          <w:p w14:paraId="10BBCB0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493/2012</w:t>
            </w:r>
          </w:p>
        </w:tc>
        <w:tc>
          <w:tcPr>
            <w:tcW w:w="669" w:type="pct"/>
            <w:shd w:val="clear" w:color="auto" w:fill="auto"/>
            <w:vAlign w:val="center"/>
            <w:hideMark/>
          </w:tcPr>
          <w:p w14:paraId="0F6786D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Tribunal de Juicio Oral en lo Penal con adscripción en el Distrito Judicial Morelos</w:t>
            </w:r>
          </w:p>
        </w:tc>
        <w:tc>
          <w:tcPr>
            <w:tcW w:w="568" w:type="pct"/>
            <w:shd w:val="clear" w:color="auto" w:fill="auto"/>
            <w:noWrap/>
            <w:vAlign w:val="center"/>
            <w:hideMark/>
          </w:tcPr>
          <w:p w14:paraId="11AD60D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noWrap/>
            <w:vAlign w:val="center"/>
            <w:hideMark/>
          </w:tcPr>
          <w:p w14:paraId="436802E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0844FF24"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20/10/11</w:t>
            </w:r>
          </w:p>
        </w:tc>
        <w:tc>
          <w:tcPr>
            <w:tcW w:w="498" w:type="pct"/>
            <w:shd w:val="clear" w:color="auto" w:fill="auto"/>
            <w:noWrap/>
            <w:vAlign w:val="center"/>
            <w:hideMark/>
          </w:tcPr>
          <w:p w14:paraId="59FCAEAA"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13/07/16</w:t>
            </w:r>
          </w:p>
        </w:tc>
        <w:tc>
          <w:tcPr>
            <w:tcW w:w="377" w:type="pct"/>
            <w:shd w:val="clear" w:color="auto" w:fill="auto"/>
            <w:noWrap/>
            <w:vAlign w:val="center"/>
            <w:hideMark/>
          </w:tcPr>
          <w:p w14:paraId="4DC59E8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Oral</w:t>
            </w:r>
          </w:p>
        </w:tc>
        <w:tc>
          <w:tcPr>
            <w:tcW w:w="515" w:type="pct"/>
            <w:shd w:val="clear" w:color="auto" w:fill="auto"/>
            <w:vAlign w:val="center"/>
            <w:hideMark/>
          </w:tcPr>
          <w:p w14:paraId="315E802C"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1167F28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3922ABE8" w14:textId="77777777" w:rsidTr="007720F2">
        <w:tc>
          <w:tcPr>
            <w:tcW w:w="654" w:type="pct"/>
            <w:shd w:val="clear" w:color="auto" w:fill="auto"/>
            <w:noWrap/>
            <w:vAlign w:val="center"/>
            <w:hideMark/>
          </w:tcPr>
          <w:p w14:paraId="29E0EB8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101/2013-IV</w:t>
            </w:r>
          </w:p>
        </w:tc>
        <w:tc>
          <w:tcPr>
            <w:tcW w:w="669" w:type="pct"/>
            <w:shd w:val="clear" w:color="auto" w:fill="auto"/>
            <w:vAlign w:val="center"/>
            <w:hideMark/>
          </w:tcPr>
          <w:p w14:paraId="34B99E8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Segundo de Distrito en materia Penal en el Estado de Nuevo León</w:t>
            </w:r>
          </w:p>
        </w:tc>
        <w:tc>
          <w:tcPr>
            <w:tcW w:w="568" w:type="pct"/>
            <w:shd w:val="clear" w:color="auto" w:fill="auto"/>
            <w:noWrap/>
            <w:vAlign w:val="center"/>
            <w:hideMark/>
          </w:tcPr>
          <w:p w14:paraId="5004334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Nuevo León</w:t>
            </w:r>
          </w:p>
        </w:tc>
        <w:tc>
          <w:tcPr>
            <w:tcW w:w="618" w:type="pct"/>
            <w:shd w:val="clear" w:color="auto" w:fill="auto"/>
            <w:noWrap/>
            <w:vAlign w:val="center"/>
            <w:hideMark/>
          </w:tcPr>
          <w:p w14:paraId="4C30238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6DCED73D"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27/03/12</w:t>
            </w:r>
          </w:p>
        </w:tc>
        <w:tc>
          <w:tcPr>
            <w:tcW w:w="498" w:type="pct"/>
            <w:shd w:val="clear" w:color="auto" w:fill="auto"/>
            <w:noWrap/>
            <w:vAlign w:val="center"/>
            <w:hideMark/>
          </w:tcPr>
          <w:p w14:paraId="33243506"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13/02/17</w:t>
            </w:r>
          </w:p>
        </w:tc>
        <w:tc>
          <w:tcPr>
            <w:tcW w:w="377" w:type="pct"/>
            <w:shd w:val="clear" w:color="auto" w:fill="auto"/>
            <w:noWrap/>
            <w:vAlign w:val="center"/>
            <w:hideMark/>
          </w:tcPr>
          <w:p w14:paraId="0F12F66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6582C0DA"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642D4E5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2D4E9B49" w14:textId="77777777" w:rsidTr="007720F2">
        <w:tc>
          <w:tcPr>
            <w:tcW w:w="654" w:type="pct"/>
            <w:shd w:val="clear" w:color="auto" w:fill="auto"/>
            <w:noWrap/>
            <w:vAlign w:val="center"/>
            <w:hideMark/>
          </w:tcPr>
          <w:p w14:paraId="0229B06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19/2013</w:t>
            </w:r>
          </w:p>
        </w:tc>
        <w:tc>
          <w:tcPr>
            <w:tcW w:w="669" w:type="pct"/>
            <w:shd w:val="clear" w:color="auto" w:fill="auto"/>
            <w:vAlign w:val="center"/>
            <w:hideMark/>
          </w:tcPr>
          <w:p w14:paraId="146075E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Decimocuarto de Distrito en el Estado de Veracruz</w:t>
            </w:r>
          </w:p>
        </w:tc>
        <w:tc>
          <w:tcPr>
            <w:tcW w:w="568" w:type="pct"/>
            <w:shd w:val="clear" w:color="auto" w:fill="auto"/>
            <w:noWrap/>
            <w:vAlign w:val="center"/>
            <w:hideMark/>
          </w:tcPr>
          <w:p w14:paraId="53989BC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Veracruz</w:t>
            </w:r>
          </w:p>
        </w:tc>
        <w:tc>
          <w:tcPr>
            <w:tcW w:w="618" w:type="pct"/>
            <w:shd w:val="clear" w:color="auto" w:fill="auto"/>
            <w:noWrap/>
            <w:vAlign w:val="center"/>
            <w:hideMark/>
          </w:tcPr>
          <w:p w14:paraId="209DF9B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6782A192"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04/08/10</w:t>
            </w:r>
          </w:p>
        </w:tc>
        <w:tc>
          <w:tcPr>
            <w:tcW w:w="498" w:type="pct"/>
            <w:shd w:val="clear" w:color="auto" w:fill="auto"/>
            <w:noWrap/>
            <w:vAlign w:val="center"/>
            <w:hideMark/>
          </w:tcPr>
          <w:p w14:paraId="197D5D0C"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28/04/17</w:t>
            </w:r>
          </w:p>
        </w:tc>
        <w:tc>
          <w:tcPr>
            <w:tcW w:w="377" w:type="pct"/>
            <w:shd w:val="clear" w:color="auto" w:fill="auto"/>
            <w:noWrap/>
            <w:vAlign w:val="center"/>
            <w:hideMark/>
          </w:tcPr>
          <w:p w14:paraId="7967444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09B2B34E"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27957FA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63D5EB81" w14:textId="77777777" w:rsidTr="007720F2">
        <w:tc>
          <w:tcPr>
            <w:tcW w:w="654" w:type="pct"/>
            <w:shd w:val="clear" w:color="auto" w:fill="auto"/>
            <w:vAlign w:val="center"/>
            <w:hideMark/>
          </w:tcPr>
          <w:p w14:paraId="3BA7F7CB"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490/2016</w:t>
            </w:r>
          </w:p>
        </w:tc>
        <w:tc>
          <w:tcPr>
            <w:tcW w:w="669" w:type="pct"/>
            <w:shd w:val="clear" w:color="auto" w:fill="auto"/>
            <w:vAlign w:val="center"/>
            <w:hideMark/>
          </w:tcPr>
          <w:p w14:paraId="35D9EA08"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Juez Segundo de Primera Instancia en Materia Penal del Distrito Judicial de Rio Grande</w:t>
            </w:r>
          </w:p>
        </w:tc>
        <w:tc>
          <w:tcPr>
            <w:tcW w:w="568" w:type="pct"/>
            <w:shd w:val="clear" w:color="auto" w:fill="auto"/>
            <w:vAlign w:val="center"/>
            <w:hideMark/>
          </w:tcPr>
          <w:p w14:paraId="03F41318"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Coahuila</w:t>
            </w:r>
          </w:p>
        </w:tc>
        <w:tc>
          <w:tcPr>
            <w:tcW w:w="618" w:type="pct"/>
            <w:shd w:val="clear" w:color="auto" w:fill="auto"/>
            <w:vAlign w:val="center"/>
            <w:hideMark/>
          </w:tcPr>
          <w:p w14:paraId="458D3F8F"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Local</w:t>
            </w:r>
          </w:p>
        </w:tc>
        <w:tc>
          <w:tcPr>
            <w:tcW w:w="432" w:type="pct"/>
            <w:shd w:val="clear" w:color="auto" w:fill="auto"/>
            <w:vAlign w:val="center"/>
            <w:hideMark/>
          </w:tcPr>
          <w:p w14:paraId="56CC217F"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18/12/11</w:t>
            </w:r>
          </w:p>
        </w:tc>
        <w:tc>
          <w:tcPr>
            <w:tcW w:w="498" w:type="pct"/>
            <w:shd w:val="clear" w:color="auto" w:fill="auto"/>
            <w:vAlign w:val="center"/>
            <w:hideMark/>
          </w:tcPr>
          <w:p w14:paraId="702DE917"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23/06/17</w:t>
            </w:r>
          </w:p>
        </w:tc>
        <w:tc>
          <w:tcPr>
            <w:tcW w:w="377" w:type="pct"/>
            <w:shd w:val="clear" w:color="auto" w:fill="auto"/>
            <w:vAlign w:val="center"/>
            <w:hideMark/>
          </w:tcPr>
          <w:p w14:paraId="2C53FD09"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Escrito</w:t>
            </w:r>
          </w:p>
        </w:tc>
        <w:tc>
          <w:tcPr>
            <w:tcW w:w="515" w:type="pct"/>
            <w:shd w:val="clear" w:color="auto" w:fill="auto"/>
            <w:vAlign w:val="center"/>
            <w:hideMark/>
          </w:tcPr>
          <w:p w14:paraId="2D1F087B" w14:textId="77777777" w:rsidR="007720F2" w:rsidRPr="009337CE" w:rsidRDefault="007720F2" w:rsidP="00C64BD7">
            <w:pPr>
              <w:jc w:val="center"/>
              <w:rPr>
                <w:rFonts w:ascii="Helvetica" w:hAnsi="Helvetica" w:cs="Arial"/>
                <w:color w:val="000000"/>
                <w:sz w:val="16"/>
                <w:szCs w:val="16"/>
              </w:rPr>
            </w:pPr>
            <w:r w:rsidRPr="009337CE">
              <w:rPr>
                <w:rFonts w:ascii="Helvetica" w:hAnsi="Helvetica" w:cs="Arial"/>
                <w:color w:val="000000"/>
                <w:sz w:val="16"/>
                <w:szCs w:val="16"/>
              </w:rPr>
              <w:t>Primera</w:t>
            </w:r>
          </w:p>
        </w:tc>
        <w:tc>
          <w:tcPr>
            <w:tcW w:w="669" w:type="pct"/>
            <w:shd w:val="clear" w:color="auto" w:fill="auto"/>
            <w:vAlign w:val="center"/>
            <w:hideMark/>
          </w:tcPr>
          <w:p w14:paraId="1A9511BB"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Grupo criminal</w:t>
            </w:r>
          </w:p>
        </w:tc>
      </w:tr>
      <w:tr w:rsidR="007720F2" w:rsidRPr="009337CE" w14:paraId="20103267" w14:textId="77777777" w:rsidTr="007720F2">
        <w:tc>
          <w:tcPr>
            <w:tcW w:w="654" w:type="pct"/>
            <w:shd w:val="clear" w:color="auto" w:fill="auto"/>
            <w:noWrap/>
            <w:vAlign w:val="center"/>
            <w:hideMark/>
          </w:tcPr>
          <w:p w14:paraId="20B89306"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504/2015C</w:t>
            </w:r>
          </w:p>
        </w:tc>
        <w:tc>
          <w:tcPr>
            <w:tcW w:w="669" w:type="pct"/>
            <w:shd w:val="clear" w:color="auto" w:fill="auto"/>
            <w:vAlign w:val="center"/>
            <w:hideMark/>
          </w:tcPr>
          <w:p w14:paraId="63ED1AE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Décima Sala del Supremo Tribunal de Justicia en el Estado de Jalisco</w:t>
            </w:r>
          </w:p>
        </w:tc>
        <w:tc>
          <w:tcPr>
            <w:tcW w:w="568" w:type="pct"/>
            <w:shd w:val="clear" w:color="auto" w:fill="auto"/>
            <w:noWrap/>
            <w:vAlign w:val="center"/>
            <w:hideMark/>
          </w:tcPr>
          <w:p w14:paraId="1A2D117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Jalisco</w:t>
            </w:r>
          </w:p>
        </w:tc>
        <w:tc>
          <w:tcPr>
            <w:tcW w:w="618" w:type="pct"/>
            <w:shd w:val="clear" w:color="auto" w:fill="auto"/>
            <w:noWrap/>
            <w:vAlign w:val="center"/>
            <w:hideMark/>
          </w:tcPr>
          <w:p w14:paraId="4E02DE8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5F1F25D9"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ND</w:t>
            </w:r>
          </w:p>
        </w:tc>
        <w:tc>
          <w:tcPr>
            <w:tcW w:w="498" w:type="pct"/>
            <w:shd w:val="clear" w:color="auto" w:fill="auto"/>
            <w:noWrap/>
            <w:vAlign w:val="center"/>
            <w:hideMark/>
          </w:tcPr>
          <w:p w14:paraId="48FBE301"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11/10/17</w:t>
            </w:r>
          </w:p>
        </w:tc>
        <w:tc>
          <w:tcPr>
            <w:tcW w:w="377" w:type="pct"/>
            <w:shd w:val="clear" w:color="auto" w:fill="auto"/>
            <w:noWrap/>
            <w:vAlign w:val="center"/>
            <w:hideMark/>
          </w:tcPr>
          <w:p w14:paraId="024069C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7C274EB5"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Segunda</w:t>
            </w:r>
          </w:p>
        </w:tc>
        <w:tc>
          <w:tcPr>
            <w:tcW w:w="669" w:type="pct"/>
            <w:shd w:val="clear" w:color="auto" w:fill="auto"/>
            <w:noWrap/>
            <w:vAlign w:val="center"/>
            <w:hideMark/>
          </w:tcPr>
          <w:p w14:paraId="0B037E4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Particular</w:t>
            </w:r>
          </w:p>
        </w:tc>
      </w:tr>
      <w:tr w:rsidR="007720F2" w:rsidRPr="009337CE" w14:paraId="318FD6DF" w14:textId="77777777" w:rsidTr="007720F2">
        <w:tc>
          <w:tcPr>
            <w:tcW w:w="654" w:type="pct"/>
            <w:shd w:val="clear" w:color="auto" w:fill="auto"/>
            <w:noWrap/>
            <w:vAlign w:val="center"/>
            <w:hideMark/>
          </w:tcPr>
          <w:p w14:paraId="286A4D4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26/2013</w:t>
            </w:r>
          </w:p>
        </w:tc>
        <w:tc>
          <w:tcPr>
            <w:tcW w:w="669" w:type="pct"/>
            <w:shd w:val="clear" w:color="auto" w:fill="auto"/>
            <w:vAlign w:val="center"/>
            <w:hideMark/>
          </w:tcPr>
          <w:p w14:paraId="11231E3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Juez Décimo de Distrito en el Estado de Chihuahua</w:t>
            </w:r>
          </w:p>
        </w:tc>
        <w:tc>
          <w:tcPr>
            <w:tcW w:w="568" w:type="pct"/>
            <w:shd w:val="clear" w:color="auto" w:fill="auto"/>
            <w:noWrap/>
            <w:vAlign w:val="center"/>
            <w:hideMark/>
          </w:tcPr>
          <w:p w14:paraId="0B4B0F2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noWrap/>
            <w:vAlign w:val="center"/>
            <w:hideMark/>
          </w:tcPr>
          <w:p w14:paraId="59903516"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Federal</w:t>
            </w:r>
          </w:p>
        </w:tc>
        <w:tc>
          <w:tcPr>
            <w:tcW w:w="432" w:type="pct"/>
            <w:shd w:val="clear" w:color="auto" w:fill="auto"/>
            <w:noWrap/>
            <w:vAlign w:val="center"/>
            <w:hideMark/>
          </w:tcPr>
          <w:p w14:paraId="0C516D81"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14/10/08</w:t>
            </w:r>
          </w:p>
        </w:tc>
        <w:tc>
          <w:tcPr>
            <w:tcW w:w="498" w:type="pct"/>
            <w:shd w:val="clear" w:color="auto" w:fill="auto"/>
            <w:noWrap/>
            <w:vAlign w:val="center"/>
            <w:hideMark/>
          </w:tcPr>
          <w:p w14:paraId="2AE29F8B"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23/04/18</w:t>
            </w:r>
          </w:p>
        </w:tc>
        <w:tc>
          <w:tcPr>
            <w:tcW w:w="377" w:type="pct"/>
            <w:shd w:val="clear" w:color="auto" w:fill="auto"/>
            <w:noWrap/>
            <w:vAlign w:val="center"/>
            <w:hideMark/>
          </w:tcPr>
          <w:p w14:paraId="530F5B6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0F3187CF"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7A33D56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7A46A83C" w14:textId="77777777" w:rsidTr="007720F2">
        <w:tc>
          <w:tcPr>
            <w:tcW w:w="654" w:type="pct"/>
            <w:shd w:val="clear" w:color="auto" w:fill="auto"/>
            <w:vAlign w:val="center"/>
            <w:hideMark/>
          </w:tcPr>
          <w:p w14:paraId="7632F0DD"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301/2016C</w:t>
            </w:r>
          </w:p>
        </w:tc>
        <w:tc>
          <w:tcPr>
            <w:tcW w:w="669" w:type="pct"/>
            <w:shd w:val="clear" w:color="auto" w:fill="auto"/>
            <w:vAlign w:val="center"/>
            <w:hideMark/>
          </w:tcPr>
          <w:p w14:paraId="1B4F55E8"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Décima Sala del Supremo Tribunal de Justicia en el Estado de Jalisco</w:t>
            </w:r>
          </w:p>
        </w:tc>
        <w:tc>
          <w:tcPr>
            <w:tcW w:w="568" w:type="pct"/>
            <w:shd w:val="clear" w:color="auto" w:fill="auto"/>
            <w:vAlign w:val="center"/>
            <w:hideMark/>
          </w:tcPr>
          <w:p w14:paraId="4D9F766E"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Jalisco</w:t>
            </w:r>
          </w:p>
        </w:tc>
        <w:tc>
          <w:tcPr>
            <w:tcW w:w="618" w:type="pct"/>
            <w:shd w:val="clear" w:color="auto" w:fill="auto"/>
            <w:vAlign w:val="center"/>
            <w:hideMark/>
          </w:tcPr>
          <w:p w14:paraId="798F28EF"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Local</w:t>
            </w:r>
          </w:p>
        </w:tc>
        <w:tc>
          <w:tcPr>
            <w:tcW w:w="432" w:type="pct"/>
            <w:shd w:val="clear" w:color="auto" w:fill="auto"/>
            <w:vAlign w:val="center"/>
            <w:hideMark/>
          </w:tcPr>
          <w:p w14:paraId="042243E7"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27/03/16</w:t>
            </w:r>
          </w:p>
        </w:tc>
        <w:tc>
          <w:tcPr>
            <w:tcW w:w="498" w:type="pct"/>
            <w:shd w:val="clear" w:color="auto" w:fill="auto"/>
            <w:vAlign w:val="center"/>
            <w:hideMark/>
          </w:tcPr>
          <w:p w14:paraId="319397C3"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07/11/18</w:t>
            </w:r>
          </w:p>
        </w:tc>
        <w:tc>
          <w:tcPr>
            <w:tcW w:w="377" w:type="pct"/>
            <w:shd w:val="clear" w:color="auto" w:fill="auto"/>
            <w:vAlign w:val="center"/>
            <w:hideMark/>
          </w:tcPr>
          <w:p w14:paraId="0631D914"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Escrito</w:t>
            </w:r>
          </w:p>
        </w:tc>
        <w:tc>
          <w:tcPr>
            <w:tcW w:w="515" w:type="pct"/>
            <w:shd w:val="clear" w:color="auto" w:fill="auto"/>
            <w:vAlign w:val="center"/>
            <w:hideMark/>
          </w:tcPr>
          <w:p w14:paraId="41618173" w14:textId="77777777" w:rsidR="007720F2" w:rsidRPr="009337CE" w:rsidRDefault="007720F2" w:rsidP="00C64BD7">
            <w:pPr>
              <w:jc w:val="center"/>
              <w:rPr>
                <w:rFonts w:ascii="Helvetica" w:hAnsi="Helvetica" w:cs="Arial"/>
                <w:color w:val="000000"/>
                <w:sz w:val="16"/>
                <w:szCs w:val="16"/>
              </w:rPr>
            </w:pPr>
            <w:r w:rsidRPr="009337CE">
              <w:rPr>
                <w:rFonts w:ascii="Helvetica" w:hAnsi="Helvetica" w:cs="Arial"/>
                <w:color w:val="000000"/>
                <w:sz w:val="16"/>
                <w:szCs w:val="16"/>
              </w:rPr>
              <w:t>Segunda</w:t>
            </w:r>
          </w:p>
        </w:tc>
        <w:tc>
          <w:tcPr>
            <w:tcW w:w="669" w:type="pct"/>
            <w:shd w:val="clear" w:color="auto" w:fill="auto"/>
            <w:vAlign w:val="center"/>
            <w:hideMark/>
          </w:tcPr>
          <w:p w14:paraId="54AFE08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Grupo criminal</w:t>
            </w:r>
          </w:p>
        </w:tc>
      </w:tr>
      <w:tr w:rsidR="007720F2" w:rsidRPr="009337CE" w14:paraId="095340EE" w14:textId="77777777" w:rsidTr="007720F2">
        <w:tc>
          <w:tcPr>
            <w:tcW w:w="654" w:type="pct"/>
            <w:shd w:val="clear" w:color="auto" w:fill="auto"/>
            <w:noWrap/>
            <w:vAlign w:val="center"/>
            <w:hideMark/>
          </w:tcPr>
          <w:p w14:paraId="03B1014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10/2017</w:t>
            </w:r>
          </w:p>
        </w:tc>
        <w:tc>
          <w:tcPr>
            <w:tcW w:w="669" w:type="pct"/>
            <w:shd w:val="clear" w:color="auto" w:fill="auto"/>
            <w:vAlign w:val="center"/>
            <w:hideMark/>
          </w:tcPr>
          <w:p w14:paraId="388AE7D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 xml:space="preserve">Juzgado segundo de Primera Instancia en Materia Penal del Distrito </w:t>
            </w:r>
            <w:r w:rsidRPr="009337CE">
              <w:rPr>
                <w:rFonts w:ascii="Helvetica" w:hAnsi="Helvetica" w:cs="Arial"/>
                <w:sz w:val="16"/>
                <w:szCs w:val="16"/>
              </w:rPr>
              <w:lastRenderedPageBreak/>
              <w:t>Judicial de Río Grande</w:t>
            </w:r>
          </w:p>
        </w:tc>
        <w:tc>
          <w:tcPr>
            <w:tcW w:w="568" w:type="pct"/>
            <w:shd w:val="clear" w:color="auto" w:fill="auto"/>
            <w:noWrap/>
            <w:vAlign w:val="center"/>
            <w:hideMark/>
          </w:tcPr>
          <w:p w14:paraId="43EC33C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lastRenderedPageBreak/>
              <w:t>Coahuila</w:t>
            </w:r>
          </w:p>
        </w:tc>
        <w:tc>
          <w:tcPr>
            <w:tcW w:w="618" w:type="pct"/>
            <w:shd w:val="clear" w:color="auto" w:fill="auto"/>
            <w:noWrap/>
            <w:vAlign w:val="center"/>
            <w:hideMark/>
          </w:tcPr>
          <w:p w14:paraId="578A9CD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7BAF3473"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19/08/11</w:t>
            </w:r>
          </w:p>
        </w:tc>
        <w:tc>
          <w:tcPr>
            <w:tcW w:w="498" w:type="pct"/>
            <w:shd w:val="clear" w:color="auto" w:fill="auto"/>
            <w:noWrap/>
            <w:vAlign w:val="center"/>
            <w:hideMark/>
          </w:tcPr>
          <w:p w14:paraId="0B7C0BE7"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05/12/18</w:t>
            </w:r>
          </w:p>
        </w:tc>
        <w:tc>
          <w:tcPr>
            <w:tcW w:w="377" w:type="pct"/>
            <w:shd w:val="clear" w:color="auto" w:fill="auto"/>
            <w:noWrap/>
            <w:vAlign w:val="center"/>
            <w:hideMark/>
          </w:tcPr>
          <w:p w14:paraId="30E15497"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4F76FD1F"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22D9670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3F153AAB" w14:textId="77777777" w:rsidTr="007720F2">
        <w:tc>
          <w:tcPr>
            <w:tcW w:w="654" w:type="pct"/>
            <w:shd w:val="clear" w:color="auto" w:fill="auto"/>
            <w:noWrap/>
            <w:vAlign w:val="center"/>
            <w:hideMark/>
          </w:tcPr>
          <w:p w14:paraId="59EEB0D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ND</w:t>
            </w:r>
          </w:p>
        </w:tc>
        <w:tc>
          <w:tcPr>
            <w:tcW w:w="669" w:type="pct"/>
            <w:shd w:val="clear" w:color="auto" w:fill="auto"/>
            <w:vAlign w:val="center"/>
            <w:hideMark/>
          </w:tcPr>
          <w:p w14:paraId="35023145"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de Juicio Oral Penal para el Estado de Nuevo León</w:t>
            </w:r>
          </w:p>
        </w:tc>
        <w:tc>
          <w:tcPr>
            <w:tcW w:w="568" w:type="pct"/>
            <w:shd w:val="clear" w:color="auto" w:fill="auto"/>
            <w:noWrap/>
            <w:vAlign w:val="center"/>
            <w:hideMark/>
          </w:tcPr>
          <w:p w14:paraId="3028FAC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Nuevo León</w:t>
            </w:r>
          </w:p>
        </w:tc>
        <w:tc>
          <w:tcPr>
            <w:tcW w:w="618" w:type="pct"/>
            <w:shd w:val="clear" w:color="auto" w:fill="auto"/>
            <w:noWrap/>
            <w:vAlign w:val="center"/>
            <w:hideMark/>
          </w:tcPr>
          <w:p w14:paraId="2F28C46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4A02D09F"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01/04/15</w:t>
            </w:r>
          </w:p>
        </w:tc>
        <w:tc>
          <w:tcPr>
            <w:tcW w:w="498" w:type="pct"/>
            <w:shd w:val="clear" w:color="auto" w:fill="auto"/>
            <w:noWrap/>
            <w:vAlign w:val="center"/>
            <w:hideMark/>
          </w:tcPr>
          <w:p w14:paraId="690A489D"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26/03/19</w:t>
            </w:r>
          </w:p>
        </w:tc>
        <w:tc>
          <w:tcPr>
            <w:tcW w:w="377" w:type="pct"/>
            <w:shd w:val="clear" w:color="auto" w:fill="auto"/>
            <w:noWrap/>
            <w:vAlign w:val="center"/>
            <w:hideMark/>
          </w:tcPr>
          <w:p w14:paraId="4A909B9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Oral</w:t>
            </w:r>
          </w:p>
        </w:tc>
        <w:tc>
          <w:tcPr>
            <w:tcW w:w="515" w:type="pct"/>
            <w:shd w:val="clear" w:color="auto" w:fill="auto"/>
            <w:vAlign w:val="center"/>
            <w:hideMark/>
          </w:tcPr>
          <w:p w14:paraId="28AE6AB8"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4640CD6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090F56C8" w14:textId="77777777" w:rsidTr="007720F2">
        <w:tc>
          <w:tcPr>
            <w:tcW w:w="654" w:type="pct"/>
            <w:shd w:val="clear" w:color="auto" w:fill="auto"/>
            <w:noWrap/>
            <w:vAlign w:val="center"/>
            <w:hideMark/>
          </w:tcPr>
          <w:p w14:paraId="2C787FD3"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194/2017</w:t>
            </w:r>
          </w:p>
        </w:tc>
        <w:tc>
          <w:tcPr>
            <w:tcW w:w="669" w:type="pct"/>
            <w:shd w:val="clear" w:color="auto" w:fill="auto"/>
            <w:vAlign w:val="center"/>
            <w:hideMark/>
          </w:tcPr>
          <w:p w14:paraId="25CC82FE"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Tribunal de Enjuiciamiento de los Distritos Judiciales Benito Juárez, Guerrero, Rayón y Arteaga</w:t>
            </w:r>
          </w:p>
        </w:tc>
        <w:tc>
          <w:tcPr>
            <w:tcW w:w="568" w:type="pct"/>
            <w:shd w:val="clear" w:color="auto" w:fill="auto"/>
            <w:noWrap/>
            <w:vAlign w:val="center"/>
            <w:hideMark/>
          </w:tcPr>
          <w:p w14:paraId="31CA0CBC"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Chihuahua</w:t>
            </w:r>
          </w:p>
        </w:tc>
        <w:tc>
          <w:tcPr>
            <w:tcW w:w="618" w:type="pct"/>
            <w:shd w:val="clear" w:color="auto" w:fill="auto"/>
            <w:noWrap/>
            <w:vAlign w:val="center"/>
            <w:hideMark/>
          </w:tcPr>
          <w:p w14:paraId="2F57668F"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Local</w:t>
            </w:r>
          </w:p>
        </w:tc>
        <w:tc>
          <w:tcPr>
            <w:tcW w:w="432" w:type="pct"/>
            <w:shd w:val="clear" w:color="auto" w:fill="auto"/>
            <w:noWrap/>
            <w:vAlign w:val="center"/>
            <w:hideMark/>
          </w:tcPr>
          <w:p w14:paraId="470642C2"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09/06/17</w:t>
            </w:r>
          </w:p>
        </w:tc>
        <w:tc>
          <w:tcPr>
            <w:tcW w:w="498" w:type="pct"/>
            <w:shd w:val="clear" w:color="auto" w:fill="auto"/>
            <w:noWrap/>
            <w:vAlign w:val="center"/>
            <w:hideMark/>
          </w:tcPr>
          <w:p w14:paraId="563BD8E7" w14:textId="77777777" w:rsidR="007720F2" w:rsidRPr="009337CE" w:rsidRDefault="007720F2" w:rsidP="00C64BD7">
            <w:pPr>
              <w:jc w:val="right"/>
              <w:rPr>
                <w:rFonts w:ascii="Helvetica" w:hAnsi="Helvetica" w:cs="Arial"/>
                <w:color w:val="000000"/>
                <w:sz w:val="16"/>
                <w:szCs w:val="16"/>
              </w:rPr>
            </w:pPr>
            <w:r w:rsidRPr="009337CE">
              <w:rPr>
                <w:rFonts w:ascii="Helvetica" w:hAnsi="Helvetica" w:cs="Arial"/>
                <w:color w:val="000000"/>
                <w:sz w:val="16"/>
                <w:szCs w:val="16"/>
              </w:rPr>
              <w:t>15/04/19</w:t>
            </w:r>
          </w:p>
        </w:tc>
        <w:tc>
          <w:tcPr>
            <w:tcW w:w="377" w:type="pct"/>
            <w:shd w:val="clear" w:color="auto" w:fill="auto"/>
            <w:noWrap/>
            <w:vAlign w:val="center"/>
            <w:hideMark/>
          </w:tcPr>
          <w:p w14:paraId="50FCFA3F" w14:textId="77777777" w:rsidR="007720F2" w:rsidRPr="009337CE" w:rsidRDefault="007720F2" w:rsidP="00C64BD7">
            <w:pPr>
              <w:rPr>
                <w:rFonts w:ascii="Helvetica" w:hAnsi="Helvetica" w:cs="Arial"/>
                <w:color w:val="000000"/>
                <w:sz w:val="16"/>
                <w:szCs w:val="16"/>
              </w:rPr>
            </w:pPr>
            <w:r w:rsidRPr="009337CE">
              <w:rPr>
                <w:rFonts w:ascii="Helvetica" w:hAnsi="Helvetica" w:cs="Arial"/>
                <w:color w:val="000000"/>
                <w:sz w:val="16"/>
                <w:szCs w:val="16"/>
              </w:rPr>
              <w:t>Oral</w:t>
            </w:r>
          </w:p>
        </w:tc>
        <w:tc>
          <w:tcPr>
            <w:tcW w:w="515" w:type="pct"/>
            <w:shd w:val="clear" w:color="auto" w:fill="auto"/>
            <w:noWrap/>
            <w:vAlign w:val="center"/>
            <w:hideMark/>
          </w:tcPr>
          <w:p w14:paraId="1419250C" w14:textId="77777777" w:rsidR="007720F2" w:rsidRPr="009337CE" w:rsidRDefault="007720F2" w:rsidP="00C64BD7">
            <w:pPr>
              <w:jc w:val="center"/>
              <w:rPr>
                <w:rFonts w:ascii="Helvetica" w:hAnsi="Helvetica" w:cs="Arial"/>
                <w:color w:val="000000"/>
                <w:sz w:val="16"/>
                <w:szCs w:val="16"/>
              </w:rPr>
            </w:pPr>
            <w:r w:rsidRPr="009337CE">
              <w:rPr>
                <w:rFonts w:ascii="Helvetica" w:hAnsi="Helvetica" w:cs="Arial"/>
                <w:color w:val="000000"/>
                <w:sz w:val="16"/>
                <w:szCs w:val="16"/>
              </w:rPr>
              <w:t>Primera</w:t>
            </w:r>
          </w:p>
        </w:tc>
        <w:tc>
          <w:tcPr>
            <w:tcW w:w="669" w:type="pct"/>
            <w:shd w:val="clear" w:color="auto" w:fill="auto"/>
            <w:noWrap/>
            <w:vAlign w:val="center"/>
            <w:hideMark/>
          </w:tcPr>
          <w:p w14:paraId="23AEEEE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057A0284" w14:textId="77777777" w:rsidTr="007720F2">
        <w:tc>
          <w:tcPr>
            <w:tcW w:w="654" w:type="pct"/>
            <w:shd w:val="clear" w:color="auto" w:fill="auto"/>
            <w:noWrap/>
            <w:vAlign w:val="center"/>
            <w:hideMark/>
          </w:tcPr>
          <w:p w14:paraId="2C80E1BE"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76/2018</w:t>
            </w:r>
          </w:p>
        </w:tc>
        <w:tc>
          <w:tcPr>
            <w:tcW w:w="669" w:type="pct"/>
            <w:shd w:val="clear" w:color="auto" w:fill="auto"/>
            <w:vAlign w:val="center"/>
            <w:hideMark/>
          </w:tcPr>
          <w:p w14:paraId="6760FA8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Juez de Control del Distrito Judicial Guerrero, Estado de Chihuahua</w:t>
            </w:r>
          </w:p>
        </w:tc>
        <w:tc>
          <w:tcPr>
            <w:tcW w:w="568" w:type="pct"/>
            <w:shd w:val="clear" w:color="auto" w:fill="auto"/>
            <w:noWrap/>
            <w:vAlign w:val="center"/>
            <w:hideMark/>
          </w:tcPr>
          <w:p w14:paraId="0E7727D1"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noWrap/>
            <w:vAlign w:val="center"/>
            <w:hideMark/>
          </w:tcPr>
          <w:p w14:paraId="0C3F478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72A8E920"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23/05/18</w:t>
            </w:r>
          </w:p>
        </w:tc>
        <w:tc>
          <w:tcPr>
            <w:tcW w:w="498" w:type="pct"/>
            <w:shd w:val="clear" w:color="auto" w:fill="auto"/>
            <w:noWrap/>
            <w:vAlign w:val="center"/>
            <w:hideMark/>
          </w:tcPr>
          <w:p w14:paraId="550468F5"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15/11/19</w:t>
            </w:r>
          </w:p>
        </w:tc>
        <w:tc>
          <w:tcPr>
            <w:tcW w:w="377" w:type="pct"/>
            <w:shd w:val="clear" w:color="auto" w:fill="auto"/>
            <w:noWrap/>
            <w:vAlign w:val="center"/>
            <w:hideMark/>
          </w:tcPr>
          <w:p w14:paraId="253B746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Oral</w:t>
            </w:r>
          </w:p>
        </w:tc>
        <w:tc>
          <w:tcPr>
            <w:tcW w:w="515" w:type="pct"/>
            <w:shd w:val="clear" w:color="auto" w:fill="auto"/>
            <w:vAlign w:val="center"/>
            <w:hideMark/>
          </w:tcPr>
          <w:p w14:paraId="74EDF88C"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6864FE3B"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Grupo criminal</w:t>
            </w:r>
          </w:p>
        </w:tc>
      </w:tr>
      <w:tr w:rsidR="007720F2" w:rsidRPr="009337CE" w14:paraId="35074F79" w14:textId="77777777" w:rsidTr="007720F2">
        <w:tc>
          <w:tcPr>
            <w:tcW w:w="654" w:type="pct"/>
            <w:shd w:val="clear" w:color="auto" w:fill="auto"/>
            <w:vAlign w:val="center"/>
            <w:hideMark/>
          </w:tcPr>
          <w:p w14:paraId="34BF36B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110/2018</w:t>
            </w:r>
          </w:p>
        </w:tc>
        <w:tc>
          <w:tcPr>
            <w:tcW w:w="669" w:type="pct"/>
            <w:shd w:val="clear" w:color="auto" w:fill="auto"/>
            <w:vAlign w:val="center"/>
            <w:hideMark/>
          </w:tcPr>
          <w:p w14:paraId="26A26C7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Juzgado de Proceso, Procedimiento Penal Oral y Enjuiciamiento</w:t>
            </w:r>
          </w:p>
        </w:tc>
        <w:tc>
          <w:tcPr>
            <w:tcW w:w="568" w:type="pct"/>
            <w:shd w:val="clear" w:color="auto" w:fill="auto"/>
            <w:vAlign w:val="center"/>
            <w:hideMark/>
          </w:tcPr>
          <w:p w14:paraId="4026BE6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Veracruz</w:t>
            </w:r>
          </w:p>
        </w:tc>
        <w:tc>
          <w:tcPr>
            <w:tcW w:w="618" w:type="pct"/>
            <w:shd w:val="clear" w:color="auto" w:fill="auto"/>
            <w:vAlign w:val="center"/>
            <w:hideMark/>
          </w:tcPr>
          <w:p w14:paraId="29628A33"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vAlign w:val="center"/>
            <w:hideMark/>
          </w:tcPr>
          <w:p w14:paraId="445C7CC7"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09/08/18</w:t>
            </w:r>
          </w:p>
        </w:tc>
        <w:tc>
          <w:tcPr>
            <w:tcW w:w="498" w:type="pct"/>
            <w:shd w:val="clear" w:color="auto" w:fill="auto"/>
            <w:vAlign w:val="center"/>
            <w:hideMark/>
          </w:tcPr>
          <w:p w14:paraId="2B2BA540"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04/12/19</w:t>
            </w:r>
          </w:p>
        </w:tc>
        <w:tc>
          <w:tcPr>
            <w:tcW w:w="377" w:type="pct"/>
            <w:shd w:val="clear" w:color="auto" w:fill="auto"/>
            <w:vAlign w:val="center"/>
            <w:hideMark/>
          </w:tcPr>
          <w:p w14:paraId="446F629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Oral</w:t>
            </w:r>
          </w:p>
        </w:tc>
        <w:tc>
          <w:tcPr>
            <w:tcW w:w="515" w:type="pct"/>
            <w:shd w:val="clear" w:color="auto" w:fill="auto"/>
            <w:vAlign w:val="center"/>
            <w:hideMark/>
          </w:tcPr>
          <w:p w14:paraId="0026FD20"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vAlign w:val="center"/>
            <w:hideMark/>
          </w:tcPr>
          <w:p w14:paraId="72C9712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Particular</w:t>
            </w:r>
          </w:p>
        </w:tc>
      </w:tr>
      <w:tr w:rsidR="007720F2" w:rsidRPr="009337CE" w14:paraId="34715E19" w14:textId="77777777" w:rsidTr="007720F2">
        <w:tc>
          <w:tcPr>
            <w:tcW w:w="654" w:type="pct"/>
            <w:shd w:val="clear" w:color="auto" w:fill="auto"/>
            <w:noWrap/>
            <w:vAlign w:val="center"/>
            <w:hideMark/>
          </w:tcPr>
          <w:p w14:paraId="7480968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2831/15</w:t>
            </w:r>
          </w:p>
        </w:tc>
        <w:tc>
          <w:tcPr>
            <w:tcW w:w="669" w:type="pct"/>
            <w:shd w:val="clear" w:color="auto" w:fill="auto"/>
            <w:vAlign w:val="center"/>
            <w:hideMark/>
          </w:tcPr>
          <w:p w14:paraId="041B43B0"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Tribunal de Enjuiciamiento del Distrito Judicial Bravos, Chih</w:t>
            </w:r>
          </w:p>
        </w:tc>
        <w:tc>
          <w:tcPr>
            <w:tcW w:w="568" w:type="pct"/>
            <w:shd w:val="clear" w:color="auto" w:fill="auto"/>
            <w:noWrap/>
            <w:vAlign w:val="center"/>
            <w:hideMark/>
          </w:tcPr>
          <w:p w14:paraId="2500629F"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Chihuahua</w:t>
            </w:r>
          </w:p>
        </w:tc>
        <w:tc>
          <w:tcPr>
            <w:tcW w:w="618" w:type="pct"/>
            <w:shd w:val="clear" w:color="auto" w:fill="auto"/>
            <w:noWrap/>
            <w:vAlign w:val="center"/>
            <w:hideMark/>
          </w:tcPr>
          <w:p w14:paraId="1AD443A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5C335778"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09/05/13</w:t>
            </w:r>
          </w:p>
        </w:tc>
        <w:tc>
          <w:tcPr>
            <w:tcW w:w="498" w:type="pct"/>
            <w:shd w:val="clear" w:color="auto" w:fill="auto"/>
            <w:noWrap/>
            <w:vAlign w:val="center"/>
            <w:hideMark/>
          </w:tcPr>
          <w:p w14:paraId="38AF8A95"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09/12/19</w:t>
            </w:r>
          </w:p>
        </w:tc>
        <w:tc>
          <w:tcPr>
            <w:tcW w:w="377" w:type="pct"/>
            <w:shd w:val="clear" w:color="auto" w:fill="auto"/>
            <w:noWrap/>
            <w:vAlign w:val="center"/>
            <w:hideMark/>
          </w:tcPr>
          <w:p w14:paraId="416456D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Oral</w:t>
            </w:r>
          </w:p>
        </w:tc>
        <w:tc>
          <w:tcPr>
            <w:tcW w:w="515" w:type="pct"/>
            <w:shd w:val="clear" w:color="auto" w:fill="auto"/>
            <w:vAlign w:val="center"/>
            <w:hideMark/>
          </w:tcPr>
          <w:p w14:paraId="416522DE"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Primera</w:t>
            </w:r>
          </w:p>
        </w:tc>
        <w:tc>
          <w:tcPr>
            <w:tcW w:w="669" w:type="pct"/>
            <w:shd w:val="clear" w:color="auto" w:fill="auto"/>
            <w:noWrap/>
            <w:vAlign w:val="center"/>
            <w:hideMark/>
          </w:tcPr>
          <w:p w14:paraId="5FF77C88"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Agente estatal</w:t>
            </w:r>
          </w:p>
        </w:tc>
      </w:tr>
      <w:tr w:rsidR="007720F2" w:rsidRPr="009337CE" w14:paraId="173B3B36" w14:textId="77777777" w:rsidTr="007720F2">
        <w:tc>
          <w:tcPr>
            <w:tcW w:w="654" w:type="pct"/>
            <w:shd w:val="clear" w:color="auto" w:fill="auto"/>
            <w:noWrap/>
            <w:vAlign w:val="center"/>
            <w:hideMark/>
          </w:tcPr>
          <w:p w14:paraId="7C33C61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ND</w:t>
            </w:r>
          </w:p>
        </w:tc>
        <w:tc>
          <w:tcPr>
            <w:tcW w:w="669" w:type="pct"/>
            <w:shd w:val="clear" w:color="auto" w:fill="auto"/>
            <w:vAlign w:val="center"/>
            <w:hideMark/>
          </w:tcPr>
          <w:p w14:paraId="694428FD"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ND</w:t>
            </w:r>
          </w:p>
        </w:tc>
        <w:tc>
          <w:tcPr>
            <w:tcW w:w="568" w:type="pct"/>
            <w:shd w:val="clear" w:color="auto" w:fill="auto"/>
            <w:noWrap/>
            <w:vAlign w:val="center"/>
            <w:hideMark/>
          </w:tcPr>
          <w:p w14:paraId="76E565D2"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Jalisco</w:t>
            </w:r>
          </w:p>
        </w:tc>
        <w:tc>
          <w:tcPr>
            <w:tcW w:w="618" w:type="pct"/>
            <w:shd w:val="clear" w:color="auto" w:fill="auto"/>
            <w:noWrap/>
            <w:vAlign w:val="center"/>
            <w:hideMark/>
          </w:tcPr>
          <w:p w14:paraId="5980296A"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Local</w:t>
            </w:r>
          </w:p>
        </w:tc>
        <w:tc>
          <w:tcPr>
            <w:tcW w:w="432" w:type="pct"/>
            <w:shd w:val="clear" w:color="auto" w:fill="auto"/>
            <w:noWrap/>
            <w:vAlign w:val="center"/>
            <w:hideMark/>
          </w:tcPr>
          <w:p w14:paraId="24C1B8BA"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ND</w:t>
            </w:r>
          </w:p>
        </w:tc>
        <w:tc>
          <w:tcPr>
            <w:tcW w:w="498" w:type="pct"/>
            <w:shd w:val="clear" w:color="auto" w:fill="auto"/>
            <w:noWrap/>
            <w:vAlign w:val="center"/>
            <w:hideMark/>
          </w:tcPr>
          <w:p w14:paraId="36D87CA8" w14:textId="77777777" w:rsidR="007720F2" w:rsidRPr="009337CE" w:rsidRDefault="007720F2" w:rsidP="00C64BD7">
            <w:pPr>
              <w:jc w:val="right"/>
              <w:rPr>
                <w:rFonts w:ascii="Helvetica" w:hAnsi="Helvetica" w:cs="Arial"/>
                <w:sz w:val="16"/>
                <w:szCs w:val="16"/>
              </w:rPr>
            </w:pPr>
            <w:r w:rsidRPr="009337CE">
              <w:rPr>
                <w:rFonts w:ascii="Helvetica" w:hAnsi="Helvetica" w:cs="Arial"/>
                <w:sz w:val="16"/>
                <w:szCs w:val="16"/>
              </w:rPr>
              <w:t>ND</w:t>
            </w:r>
          </w:p>
        </w:tc>
        <w:tc>
          <w:tcPr>
            <w:tcW w:w="377" w:type="pct"/>
            <w:shd w:val="clear" w:color="auto" w:fill="auto"/>
            <w:noWrap/>
            <w:vAlign w:val="center"/>
            <w:hideMark/>
          </w:tcPr>
          <w:p w14:paraId="2A32FEA4"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Escrito</w:t>
            </w:r>
          </w:p>
        </w:tc>
        <w:tc>
          <w:tcPr>
            <w:tcW w:w="515" w:type="pct"/>
            <w:shd w:val="clear" w:color="auto" w:fill="auto"/>
            <w:vAlign w:val="center"/>
            <w:hideMark/>
          </w:tcPr>
          <w:p w14:paraId="015FA99B" w14:textId="77777777" w:rsidR="007720F2" w:rsidRPr="009337CE" w:rsidRDefault="007720F2" w:rsidP="00C64BD7">
            <w:pPr>
              <w:jc w:val="center"/>
              <w:rPr>
                <w:rFonts w:ascii="Helvetica" w:hAnsi="Helvetica" w:cs="Arial"/>
                <w:sz w:val="16"/>
                <w:szCs w:val="16"/>
              </w:rPr>
            </w:pPr>
            <w:r w:rsidRPr="009337CE">
              <w:rPr>
                <w:rFonts w:ascii="Helvetica" w:hAnsi="Helvetica" w:cs="Arial"/>
                <w:sz w:val="16"/>
                <w:szCs w:val="16"/>
              </w:rPr>
              <w:t>Segunda</w:t>
            </w:r>
          </w:p>
        </w:tc>
        <w:tc>
          <w:tcPr>
            <w:tcW w:w="669" w:type="pct"/>
            <w:shd w:val="clear" w:color="auto" w:fill="auto"/>
            <w:noWrap/>
            <w:vAlign w:val="center"/>
            <w:hideMark/>
          </w:tcPr>
          <w:p w14:paraId="4DFA527C" w14:textId="77777777" w:rsidR="007720F2" w:rsidRPr="009337CE" w:rsidRDefault="007720F2" w:rsidP="00C64BD7">
            <w:pPr>
              <w:rPr>
                <w:rFonts w:ascii="Helvetica" w:hAnsi="Helvetica" w:cs="Arial"/>
                <w:sz w:val="16"/>
                <w:szCs w:val="16"/>
              </w:rPr>
            </w:pPr>
            <w:r w:rsidRPr="009337CE">
              <w:rPr>
                <w:rFonts w:ascii="Helvetica" w:hAnsi="Helvetica" w:cs="Arial"/>
                <w:sz w:val="16"/>
                <w:szCs w:val="16"/>
              </w:rPr>
              <w:t>Grupo criminal</w:t>
            </w:r>
          </w:p>
        </w:tc>
      </w:tr>
    </w:tbl>
    <w:p w14:paraId="2D6447E3" w14:textId="77777777" w:rsidR="007720F2" w:rsidRPr="00962293" w:rsidRDefault="007720F2" w:rsidP="007720F2">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2D8D1BB8" w14:textId="77777777" w:rsidR="007720F2" w:rsidRDefault="007720F2" w:rsidP="008A2357">
      <w:pPr>
        <w:spacing w:before="240" w:line="360" w:lineRule="auto"/>
        <w:jc w:val="both"/>
        <w:rPr>
          <w:rFonts w:ascii="Helvetica" w:hAnsi="Helvetica"/>
          <w:sz w:val="22"/>
          <w:szCs w:val="22"/>
          <w:lang w:val="es-ES"/>
        </w:rPr>
      </w:pPr>
    </w:p>
    <w:p w14:paraId="18D44DB8" w14:textId="12F81EF3" w:rsidR="00AC4A9E" w:rsidRDefault="00AC4A9E">
      <w:pPr>
        <w:rPr>
          <w:rFonts w:ascii="Helvetica" w:hAnsi="Helvetica"/>
          <w:sz w:val="22"/>
          <w:szCs w:val="22"/>
          <w:lang w:val="es-ES"/>
        </w:rPr>
      </w:pPr>
      <w:r>
        <w:rPr>
          <w:rFonts w:ascii="Helvetica" w:hAnsi="Helvetica"/>
          <w:sz w:val="22"/>
          <w:szCs w:val="22"/>
          <w:lang w:val="es-ES"/>
        </w:rPr>
        <w:br w:type="page"/>
      </w:r>
    </w:p>
    <w:p w14:paraId="53C80DDE" w14:textId="4DD2703A" w:rsidR="008A2357" w:rsidRDefault="00650D33" w:rsidP="00F203E7">
      <w:pPr>
        <w:pStyle w:val="Ttulo1"/>
      </w:pPr>
      <w:bookmarkStart w:id="33" w:name="_Toc52293202"/>
      <w:r>
        <w:lastRenderedPageBreak/>
        <w:t>Anexo 2.</w:t>
      </w:r>
      <w:r w:rsidR="00F203E7">
        <w:t xml:space="preserve"> Agentes estatales acusados del delito de desaparición forzada</w:t>
      </w:r>
      <w:bookmarkEnd w:id="33"/>
      <w:r w:rsidR="00F203E7">
        <w:t xml:space="preserve"> </w:t>
      </w:r>
    </w:p>
    <w:tbl>
      <w:tblPr>
        <w:tblW w:w="8828" w:type="dxa"/>
        <w:tblCellMar>
          <w:left w:w="70" w:type="dxa"/>
          <w:right w:w="70" w:type="dxa"/>
        </w:tblCellMar>
        <w:tblLook w:val="04A0" w:firstRow="1" w:lastRow="0" w:firstColumn="1" w:lastColumn="0" w:noHBand="0" w:noVBand="1"/>
      </w:tblPr>
      <w:tblGrid>
        <w:gridCol w:w="1140"/>
        <w:gridCol w:w="1265"/>
        <w:gridCol w:w="1701"/>
        <w:gridCol w:w="2105"/>
        <w:gridCol w:w="1157"/>
        <w:gridCol w:w="1460"/>
      </w:tblGrid>
      <w:tr w:rsidR="00AC4A9E" w:rsidRPr="007A00FA" w14:paraId="0E812D2F" w14:textId="77777777" w:rsidTr="00C64BD7">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37AA" w14:textId="27DEA39F" w:rsidR="00AC4A9E" w:rsidRPr="007A00FA" w:rsidRDefault="00AC4A9E" w:rsidP="00C64BD7">
            <w:pPr>
              <w:jc w:val="center"/>
              <w:rPr>
                <w:rFonts w:ascii="Helvetica" w:hAnsi="Helvetica"/>
                <w:b/>
                <w:bCs/>
                <w:color w:val="000000"/>
                <w:sz w:val="20"/>
                <w:szCs w:val="20"/>
              </w:rPr>
            </w:pPr>
            <w:r>
              <w:rPr>
                <w:rFonts w:ascii="Helvetica" w:hAnsi="Helvetica"/>
                <w:b/>
                <w:bCs/>
                <w:color w:val="000000"/>
                <w:sz w:val="20"/>
                <w:szCs w:val="20"/>
              </w:rPr>
              <w:t>Agentes estatales</w:t>
            </w:r>
            <w:r w:rsidR="00F203E7">
              <w:rPr>
                <w:rFonts w:ascii="Helvetica" w:hAnsi="Helvetica"/>
                <w:b/>
                <w:bCs/>
                <w:color w:val="000000"/>
                <w:sz w:val="20"/>
                <w:szCs w:val="20"/>
              </w:rPr>
              <w:t xml:space="preserve"> acusados del delito </w:t>
            </w:r>
            <w:r>
              <w:rPr>
                <w:rFonts w:ascii="Helvetica" w:hAnsi="Helvetica"/>
                <w:b/>
                <w:bCs/>
                <w:color w:val="000000"/>
                <w:sz w:val="20"/>
                <w:szCs w:val="20"/>
              </w:rPr>
              <w:t>de desaparición forzada</w:t>
            </w:r>
          </w:p>
        </w:tc>
      </w:tr>
      <w:tr w:rsidR="00AC4A9E" w:rsidRPr="00846952" w14:paraId="79FD9340" w14:textId="77777777" w:rsidTr="00C64BD7">
        <w:tc>
          <w:tcPr>
            <w:tcW w:w="1140" w:type="dxa"/>
            <w:tcBorders>
              <w:top w:val="nil"/>
              <w:left w:val="single" w:sz="4" w:space="0" w:color="auto"/>
              <w:bottom w:val="single" w:sz="4" w:space="0" w:color="auto"/>
              <w:right w:val="single" w:sz="4" w:space="0" w:color="auto"/>
            </w:tcBorders>
            <w:shd w:val="clear" w:color="auto" w:fill="auto"/>
            <w:vAlign w:val="center"/>
            <w:hideMark/>
          </w:tcPr>
          <w:p w14:paraId="0CAF0EF0" w14:textId="77777777" w:rsidR="00AC4A9E" w:rsidRPr="00846952" w:rsidRDefault="00AC4A9E" w:rsidP="00C64BD7">
            <w:pPr>
              <w:jc w:val="center"/>
              <w:rPr>
                <w:rFonts w:ascii="Helvetica" w:hAnsi="Helvetica" w:cs="Arial"/>
                <w:b/>
                <w:bCs/>
                <w:sz w:val="18"/>
                <w:szCs w:val="18"/>
              </w:rPr>
            </w:pPr>
            <w:r w:rsidRPr="00846952">
              <w:rPr>
                <w:rFonts w:ascii="Helvetica" w:hAnsi="Helvetica" w:cs="Arial"/>
                <w:b/>
                <w:bCs/>
                <w:sz w:val="18"/>
                <w:szCs w:val="18"/>
              </w:rPr>
              <w:t>Causa penal</w:t>
            </w:r>
          </w:p>
        </w:tc>
        <w:tc>
          <w:tcPr>
            <w:tcW w:w="1265" w:type="dxa"/>
            <w:tcBorders>
              <w:top w:val="nil"/>
              <w:left w:val="nil"/>
              <w:bottom w:val="single" w:sz="4" w:space="0" w:color="auto"/>
              <w:right w:val="single" w:sz="4" w:space="0" w:color="auto"/>
            </w:tcBorders>
            <w:shd w:val="clear" w:color="auto" w:fill="auto"/>
            <w:vAlign w:val="center"/>
            <w:hideMark/>
          </w:tcPr>
          <w:p w14:paraId="32DCBCC5" w14:textId="77777777" w:rsidR="00AC4A9E" w:rsidRPr="00846952" w:rsidRDefault="00AC4A9E" w:rsidP="00C64BD7">
            <w:pPr>
              <w:jc w:val="center"/>
              <w:rPr>
                <w:rFonts w:ascii="Helvetica" w:hAnsi="Helvetica" w:cs="Arial"/>
                <w:b/>
                <w:bCs/>
                <w:sz w:val="18"/>
                <w:szCs w:val="18"/>
              </w:rPr>
            </w:pPr>
            <w:r w:rsidRPr="00846952">
              <w:rPr>
                <w:rFonts w:ascii="Helvetica" w:hAnsi="Helvetica" w:cs="Arial"/>
                <w:b/>
                <w:bCs/>
                <w:sz w:val="18"/>
                <w:szCs w:val="18"/>
              </w:rPr>
              <w:t>Fecha sentencia</w:t>
            </w:r>
          </w:p>
        </w:tc>
        <w:tc>
          <w:tcPr>
            <w:tcW w:w="1701" w:type="dxa"/>
            <w:tcBorders>
              <w:top w:val="nil"/>
              <w:left w:val="nil"/>
              <w:bottom w:val="single" w:sz="4" w:space="0" w:color="auto"/>
              <w:right w:val="single" w:sz="4" w:space="0" w:color="auto"/>
            </w:tcBorders>
            <w:shd w:val="clear" w:color="000000" w:fill="FFFFFF"/>
            <w:vAlign w:val="center"/>
            <w:hideMark/>
          </w:tcPr>
          <w:p w14:paraId="59429227" w14:textId="77777777" w:rsidR="00AC4A9E" w:rsidRPr="00846952" w:rsidRDefault="00AC4A9E" w:rsidP="00C64BD7">
            <w:pPr>
              <w:jc w:val="center"/>
              <w:rPr>
                <w:rFonts w:ascii="Helvetica" w:hAnsi="Helvetica" w:cs="Arial"/>
                <w:b/>
                <w:bCs/>
                <w:sz w:val="18"/>
                <w:szCs w:val="18"/>
              </w:rPr>
            </w:pPr>
            <w:r w:rsidRPr="00846952">
              <w:rPr>
                <w:rFonts w:ascii="Helvetica" w:hAnsi="Helvetica" w:cs="Arial"/>
                <w:b/>
                <w:bCs/>
                <w:sz w:val="18"/>
                <w:szCs w:val="18"/>
              </w:rPr>
              <w:t xml:space="preserve">Tipo de </w:t>
            </w:r>
            <w:r>
              <w:rPr>
                <w:rFonts w:ascii="Helvetica" w:hAnsi="Helvetica" w:cs="Arial"/>
                <w:b/>
                <w:bCs/>
                <w:sz w:val="18"/>
                <w:szCs w:val="18"/>
              </w:rPr>
              <w:t>agente estatal</w:t>
            </w:r>
          </w:p>
        </w:tc>
        <w:tc>
          <w:tcPr>
            <w:tcW w:w="2105" w:type="dxa"/>
            <w:tcBorders>
              <w:top w:val="nil"/>
              <w:left w:val="nil"/>
              <w:bottom w:val="single" w:sz="4" w:space="0" w:color="auto"/>
              <w:right w:val="single" w:sz="4" w:space="0" w:color="auto"/>
            </w:tcBorders>
            <w:shd w:val="clear" w:color="auto" w:fill="auto"/>
            <w:noWrap/>
            <w:vAlign w:val="center"/>
            <w:hideMark/>
          </w:tcPr>
          <w:p w14:paraId="69EDD209" w14:textId="77777777" w:rsidR="00AC4A9E" w:rsidRPr="00846952" w:rsidRDefault="00AC4A9E" w:rsidP="00C64BD7">
            <w:pPr>
              <w:jc w:val="center"/>
              <w:rPr>
                <w:rFonts w:ascii="Helvetica" w:hAnsi="Helvetica"/>
                <w:b/>
                <w:bCs/>
                <w:color w:val="000000"/>
                <w:sz w:val="18"/>
                <w:szCs w:val="18"/>
              </w:rPr>
            </w:pPr>
            <w:r w:rsidRPr="00846952">
              <w:rPr>
                <w:rFonts w:ascii="Helvetica" w:hAnsi="Helvetica"/>
                <w:b/>
                <w:bCs/>
                <w:color w:val="000000"/>
                <w:sz w:val="18"/>
                <w:szCs w:val="18"/>
              </w:rPr>
              <w:t>Otro delito</w:t>
            </w:r>
          </w:p>
        </w:tc>
        <w:tc>
          <w:tcPr>
            <w:tcW w:w="1157" w:type="dxa"/>
            <w:tcBorders>
              <w:top w:val="nil"/>
              <w:left w:val="nil"/>
              <w:bottom w:val="single" w:sz="4" w:space="0" w:color="auto"/>
              <w:right w:val="single" w:sz="4" w:space="0" w:color="auto"/>
            </w:tcBorders>
            <w:shd w:val="clear" w:color="auto" w:fill="auto"/>
            <w:vAlign w:val="center"/>
            <w:hideMark/>
          </w:tcPr>
          <w:p w14:paraId="639F8460" w14:textId="77777777" w:rsidR="00AC4A9E" w:rsidRPr="00846952" w:rsidRDefault="00AC4A9E" w:rsidP="00C64BD7">
            <w:pPr>
              <w:jc w:val="center"/>
              <w:rPr>
                <w:rFonts w:ascii="Helvetica" w:hAnsi="Helvetica" w:cs="Arial"/>
                <w:b/>
                <w:bCs/>
                <w:sz w:val="18"/>
                <w:szCs w:val="18"/>
              </w:rPr>
            </w:pPr>
            <w:r w:rsidRPr="00846952">
              <w:rPr>
                <w:rFonts w:ascii="Helvetica" w:hAnsi="Helvetica" w:cs="Arial"/>
                <w:b/>
                <w:bCs/>
                <w:sz w:val="18"/>
                <w:szCs w:val="18"/>
              </w:rPr>
              <w:t>Sentido</w:t>
            </w:r>
          </w:p>
        </w:tc>
        <w:tc>
          <w:tcPr>
            <w:tcW w:w="1460" w:type="dxa"/>
            <w:tcBorders>
              <w:top w:val="nil"/>
              <w:left w:val="nil"/>
              <w:bottom w:val="single" w:sz="4" w:space="0" w:color="auto"/>
              <w:right w:val="single" w:sz="4" w:space="0" w:color="auto"/>
            </w:tcBorders>
            <w:shd w:val="clear" w:color="auto" w:fill="auto"/>
            <w:vAlign w:val="center"/>
            <w:hideMark/>
          </w:tcPr>
          <w:p w14:paraId="79A6404C" w14:textId="77777777" w:rsidR="00AC4A9E" w:rsidRPr="00846952" w:rsidRDefault="00AC4A9E" w:rsidP="00C64BD7">
            <w:pPr>
              <w:jc w:val="center"/>
              <w:rPr>
                <w:rFonts w:ascii="Helvetica" w:hAnsi="Helvetica" w:cs="Arial"/>
                <w:b/>
                <w:bCs/>
                <w:sz w:val="18"/>
                <w:szCs w:val="18"/>
              </w:rPr>
            </w:pPr>
            <w:r>
              <w:rPr>
                <w:rFonts w:ascii="Helvetica" w:hAnsi="Helvetica" w:cs="Arial"/>
                <w:b/>
                <w:bCs/>
                <w:sz w:val="18"/>
                <w:szCs w:val="18"/>
              </w:rPr>
              <w:t>Pena</w:t>
            </w:r>
            <w:r w:rsidRPr="00846952">
              <w:rPr>
                <w:rFonts w:ascii="Helvetica" w:hAnsi="Helvetica" w:cs="Arial"/>
                <w:b/>
                <w:bCs/>
                <w:sz w:val="18"/>
                <w:szCs w:val="18"/>
              </w:rPr>
              <w:t xml:space="preserve"> (años cerrados)</w:t>
            </w:r>
          </w:p>
        </w:tc>
      </w:tr>
      <w:tr w:rsidR="00AC4A9E" w:rsidRPr="00846952" w14:paraId="51EBE915"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1006F0F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20/2005-I</w:t>
            </w:r>
          </w:p>
        </w:tc>
        <w:tc>
          <w:tcPr>
            <w:tcW w:w="1265" w:type="dxa"/>
            <w:tcBorders>
              <w:top w:val="nil"/>
              <w:left w:val="nil"/>
              <w:bottom w:val="single" w:sz="4" w:space="0" w:color="auto"/>
              <w:right w:val="single" w:sz="4" w:space="0" w:color="auto"/>
            </w:tcBorders>
            <w:shd w:val="clear" w:color="auto" w:fill="auto"/>
            <w:noWrap/>
            <w:vAlign w:val="center"/>
            <w:hideMark/>
          </w:tcPr>
          <w:p w14:paraId="7557112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30/06/10</w:t>
            </w:r>
          </w:p>
        </w:tc>
        <w:tc>
          <w:tcPr>
            <w:tcW w:w="1701" w:type="dxa"/>
            <w:tcBorders>
              <w:top w:val="nil"/>
              <w:left w:val="nil"/>
              <w:bottom w:val="single" w:sz="4" w:space="0" w:color="auto"/>
              <w:right w:val="single" w:sz="4" w:space="0" w:color="auto"/>
            </w:tcBorders>
            <w:shd w:val="clear" w:color="000000" w:fill="FFFFFF"/>
            <w:vAlign w:val="center"/>
            <w:hideMark/>
          </w:tcPr>
          <w:p w14:paraId="283A6581"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Agente federal de investigación</w:t>
            </w:r>
          </w:p>
        </w:tc>
        <w:tc>
          <w:tcPr>
            <w:tcW w:w="2105" w:type="dxa"/>
            <w:tcBorders>
              <w:top w:val="nil"/>
              <w:left w:val="nil"/>
              <w:bottom w:val="single" w:sz="4" w:space="0" w:color="auto"/>
              <w:right w:val="single" w:sz="4" w:space="0" w:color="auto"/>
            </w:tcBorders>
            <w:shd w:val="clear" w:color="auto" w:fill="auto"/>
            <w:noWrap/>
            <w:vAlign w:val="center"/>
            <w:hideMark/>
          </w:tcPr>
          <w:p w14:paraId="6354D96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Extorsión</w:t>
            </w:r>
          </w:p>
        </w:tc>
        <w:tc>
          <w:tcPr>
            <w:tcW w:w="1157" w:type="dxa"/>
            <w:tcBorders>
              <w:top w:val="nil"/>
              <w:left w:val="nil"/>
              <w:bottom w:val="single" w:sz="4" w:space="0" w:color="auto"/>
              <w:right w:val="single" w:sz="4" w:space="0" w:color="auto"/>
            </w:tcBorders>
            <w:shd w:val="clear" w:color="auto" w:fill="auto"/>
            <w:noWrap/>
            <w:vAlign w:val="center"/>
            <w:hideMark/>
          </w:tcPr>
          <w:p w14:paraId="492558ED"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38D15663"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6</w:t>
            </w:r>
          </w:p>
        </w:tc>
      </w:tr>
      <w:tr w:rsidR="00AC4A9E" w:rsidRPr="00846952" w14:paraId="4CD1B326"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259B1A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257/2012-IV-8</w:t>
            </w:r>
          </w:p>
        </w:tc>
        <w:tc>
          <w:tcPr>
            <w:tcW w:w="1265" w:type="dxa"/>
            <w:tcBorders>
              <w:top w:val="nil"/>
              <w:left w:val="nil"/>
              <w:bottom w:val="single" w:sz="4" w:space="0" w:color="auto"/>
              <w:right w:val="single" w:sz="4" w:space="0" w:color="auto"/>
            </w:tcBorders>
            <w:shd w:val="clear" w:color="auto" w:fill="auto"/>
            <w:noWrap/>
            <w:vAlign w:val="center"/>
            <w:hideMark/>
          </w:tcPr>
          <w:p w14:paraId="26014A8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31/07/15</w:t>
            </w:r>
          </w:p>
        </w:tc>
        <w:tc>
          <w:tcPr>
            <w:tcW w:w="1701" w:type="dxa"/>
            <w:tcBorders>
              <w:top w:val="nil"/>
              <w:left w:val="nil"/>
              <w:bottom w:val="single" w:sz="4" w:space="0" w:color="auto"/>
              <w:right w:val="single" w:sz="4" w:space="0" w:color="auto"/>
            </w:tcBorders>
            <w:shd w:val="clear" w:color="000000" w:fill="FFFFFF"/>
            <w:vAlign w:val="center"/>
            <w:hideMark/>
          </w:tcPr>
          <w:p w14:paraId="1A9413D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Agente federal de investigación</w:t>
            </w:r>
          </w:p>
        </w:tc>
        <w:tc>
          <w:tcPr>
            <w:tcW w:w="2105" w:type="dxa"/>
            <w:tcBorders>
              <w:top w:val="nil"/>
              <w:left w:val="nil"/>
              <w:bottom w:val="single" w:sz="4" w:space="0" w:color="auto"/>
              <w:right w:val="single" w:sz="4" w:space="0" w:color="auto"/>
            </w:tcBorders>
            <w:shd w:val="clear" w:color="auto" w:fill="auto"/>
            <w:noWrap/>
            <w:vAlign w:val="center"/>
            <w:hideMark/>
          </w:tcPr>
          <w:p w14:paraId="3DCA55A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Extorsión</w:t>
            </w:r>
          </w:p>
        </w:tc>
        <w:tc>
          <w:tcPr>
            <w:tcW w:w="1157" w:type="dxa"/>
            <w:tcBorders>
              <w:top w:val="nil"/>
              <w:left w:val="nil"/>
              <w:bottom w:val="single" w:sz="4" w:space="0" w:color="auto"/>
              <w:right w:val="single" w:sz="4" w:space="0" w:color="auto"/>
            </w:tcBorders>
            <w:shd w:val="clear" w:color="auto" w:fill="auto"/>
            <w:noWrap/>
            <w:vAlign w:val="center"/>
            <w:hideMark/>
          </w:tcPr>
          <w:p w14:paraId="1643ED9D"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46FF57A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3</w:t>
            </w:r>
          </w:p>
        </w:tc>
      </w:tr>
      <w:tr w:rsidR="00AC4A9E" w:rsidRPr="00846952" w14:paraId="249530B2"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3D295B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159/2005 IV</w:t>
            </w:r>
          </w:p>
        </w:tc>
        <w:tc>
          <w:tcPr>
            <w:tcW w:w="1265" w:type="dxa"/>
            <w:tcBorders>
              <w:top w:val="nil"/>
              <w:left w:val="nil"/>
              <w:bottom w:val="single" w:sz="4" w:space="0" w:color="auto"/>
              <w:right w:val="single" w:sz="4" w:space="0" w:color="auto"/>
            </w:tcBorders>
            <w:shd w:val="clear" w:color="auto" w:fill="auto"/>
            <w:noWrap/>
            <w:vAlign w:val="center"/>
            <w:hideMark/>
          </w:tcPr>
          <w:p w14:paraId="60C6704F"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14/11/06</w:t>
            </w:r>
          </w:p>
        </w:tc>
        <w:tc>
          <w:tcPr>
            <w:tcW w:w="1701" w:type="dxa"/>
            <w:tcBorders>
              <w:top w:val="nil"/>
              <w:left w:val="nil"/>
              <w:bottom w:val="single" w:sz="4" w:space="0" w:color="auto"/>
              <w:right w:val="single" w:sz="4" w:space="0" w:color="auto"/>
            </w:tcBorders>
            <w:shd w:val="clear" w:color="000000" w:fill="FFFFFF"/>
            <w:vAlign w:val="center"/>
            <w:hideMark/>
          </w:tcPr>
          <w:p w14:paraId="37CF76F1"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Agente federal de investigación</w:t>
            </w:r>
          </w:p>
        </w:tc>
        <w:tc>
          <w:tcPr>
            <w:tcW w:w="2105" w:type="dxa"/>
            <w:tcBorders>
              <w:top w:val="nil"/>
              <w:left w:val="nil"/>
              <w:bottom w:val="single" w:sz="4" w:space="0" w:color="auto"/>
              <w:right w:val="single" w:sz="4" w:space="0" w:color="auto"/>
            </w:tcBorders>
            <w:shd w:val="clear" w:color="auto" w:fill="auto"/>
            <w:noWrap/>
            <w:vAlign w:val="center"/>
            <w:hideMark/>
          </w:tcPr>
          <w:p w14:paraId="2D12D923"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Contra la salud</w:t>
            </w:r>
          </w:p>
        </w:tc>
        <w:tc>
          <w:tcPr>
            <w:tcW w:w="1157" w:type="dxa"/>
            <w:tcBorders>
              <w:top w:val="nil"/>
              <w:left w:val="nil"/>
              <w:bottom w:val="single" w:sz="4" w:space="0" w:color="auto"/>
              <w:right w:val="single" w:sz="4" w:space="0" w:color="auto"/>
            </w:tcBorders>
            <w:shd w:val="clear" w:color="auto" w:fill="auto"/>
            <w:noWrap/>
            <w:vAlign w:val="center"/>
            <w:hideMark/>
          </w:tcPr>
          <w:p w14:paraId="4720E88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54859AE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27</w:t>
            </w:r>
          </w:p>
        </w:tc>
      </w:tr>
      <w:tr w:rsidR="00AC4A9E" w:rsidRPr="00846952" w14:paraId="02E4D942"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0A79D1C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26/2013</w:t>
            </w:r>
          </w:p>
        </w:tc>
        <w:tc>
          <w:tcPr>
            <w:tcW w:w="1265" w:type="dxa"/>
            <w:tcBorders>
              <w:top w:val="nil"/>
              <w:left w:val="nil"/>
              <w:bottom w:val="single" w:sz="4" w:space="0" w:color="auto"/>
              <w:right w:val="single" w:sz="4" w:space="0" w:color="auto"/>
            </w:tcBorders>
            <w:shd w:val="clear" w:color="auto" w:fill="auto"/>
            <w:noWrap/>
            <w:vAlign w:val="center"/>
            <w:hideMark/>
          </w:tcPr>
          <w:p w14:paraId="7E7203E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23/04/18</w:t>
            </w:r>
          </w:p>
        </w:tc>
        <w:tc>
          <w:tcPr>
            <w:tcW w:w="1701" w:type="dxa"/>
            <w:tcBorders>
              <w:top w:val="nil"/>
              <w:left w:val="nil"/>
              <w:bottom w:val="single" w:sz="4" w:space="0" w:color="auto"/>
              <w:right w:val="single" w:sz="4" w:space="0" w:color="auto"/>
            </w:tcBorders>
            <w:shd w:val="clear" w:color="000000" w:fill="FFFFFF"/>
            <w:vAlign w:val="center"/>
            <w:hideMark/>
          </w:tcPr>
          <w:p w14:paraId="770CA6B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Militar</w:t>
            </w:r>
          </w:p>
        </w:tc>
        <w:tc>
          <w:tcPr>
            <w:tcW w:w="2105" w:type="dxa"/>
            <w:tcBorders>
              <w:top w:val="nil"/>
              <w:left w:val="nil"/>
              <w:bottom w:val="single" w:sz="4" w:space="0" w:color="auto"/>
              <w:right w:val="single" w:sz="4" w:space="0" w:color="auto"/>
            </w:tcBorders>
            <w:shd w:val="clear" w:color="auto" w:fill="auto"/>
            <w:noWrap/>
            <w:vAlign w:val="center"/>
            <w:hideMark/>
          </w:tcPr>
          <w:p w14:paraId="3B6550D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Abuso de autoridad</w:t>
            </w:r>
          </w:p>
        </w:tc>
        <w:tc>
          <w:tcPr>
            <w:tcW w:w="1157" w:type="dxa"/>
            <w:tcBorders>
              <w:top w:val="nil"/>
              <w:left w:val="nil"/>
              <w:bottom w:val="single" w:sz="4" w:space="0" w:color="auto"/>
              <w:right w:val="single" w:sz="4" w:space="0" w:color="auto"/>
            </w:tcBorders>
            <w:shd w:val="clear" w:color="auto" w:fill="auto"/>
            <w:noWrap/>
            <w:vAlign w:val="center"/>
            <w:hideMark/>
          </w:tcPr>
          <w:p w14:paraId="38DB1A2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4887200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8</w:t>
            </w:r>
          </w:p>
        </w:tc>
      </w:tr>
      <w:tr w:rsidR="00AC4A9E" w:rsidRPr="00846952" w14:paraId="3F0F1CE2"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06F603E"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142/2003-II</w:t>
            </w:r>
          </w:p>
        </w:tc>
        <w:tc>
          <w:tcPr>
            <w:tcW w:w="1265" w:type="dxa"/>
            <w:tcBorders>
              <w:top w:val="nil"/>
              <w:left w:val="nil"/>
              <w:bottom w:val="single" w:sz="4" w:space="0" w:color="auto"/>
              <w:right w:val="single" w:sz="4" w:space="0" w:color="auto"/>
            </w:tcBorders>
            <w:shd w:val="clear" w:color="auto" w:fill="auto"/>
            <w:noWrap/>
            <w:vAlign w:val="center"/>
            <w:hideMark/>
          </w:tcPr>
          <w:p w14:paraId="6BCBE4E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11/05/05</w:t>
            </w:r>
          </w:p>
        </w:tc>
        <w:tc>
          <w:tcPr>
            <w:tcW w:w="1701" w:type="dxa"/>
            <w:tcBorders>
              <w:top w:val="nil"/>
              <w:left w:val="nil"/>
              <w:bottom w:val="single" w:sz="4" w:space="0" w:color="auto"/>
              <w:right w:val="single" w:sz="4" w:space="0" w:color="auto"/>
            </w:tcBorders>
            <w:shd w:val="clear" w:color="000000" w:fill="FFFFFF"/>
            <w:vAlign w:val="center"/>
            <w:hideMark/>
          </w:tcPr>
          <w:p w14:paraId="081902C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Agente federal de investigación</w:t>
            </w:r>
          </w:p>
        </w:tc>
        <w:tc>
          <w:tcPr>
            <w:tcW w:w="2105" w:type="dxa"/>
            <w:tcBorders>
              <w:top w:val="nil"/>
              <w:left w:val="nil"/>
              <w:bottom w:val="single" w:sz="4" w:space="0" w:color="auto"/>
              <w:right w:val="single" w:sz="4" w:space="0" w:color="auto"/>
            </w:tcBorders>
            <w:shd w:val="clear" w:color="auto" w:fill="auto"/>
            <w:noWrap/>
            <w:vAlign w:val="center"/>
            <w:hideMark/>
          </w:tcPr>
          <w:p w14:paraId="428C6130"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1E79409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2CAE8AC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Beneficio</w:t>
            </w:r>
          </w:p>
        </w:tc>
      </w:tr>
      <w:tr w:rsidR="00AC4A9E" w:rsidRPr="00846952" w14:paraId="476AD294"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1D3D81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255/13 y acumulada  263/2013-III</w:t>
            </w:r>
          </w:p>
        </w:tc>
        <w:tc>
          <w:tcPr>
            <w:tcW w:w="1265" w:type="dxa"/>
            <w:tcBorders>
              <w:top w:val="nil"/>
              <w:left w:val="nil"/>
              <w:bottom w:val="single" w:sz="4" w:space="0" w:color="auto"/>
              <w:right w:val="single" w:sz="4" w:space="0" w:color="auto"/>
            </w:tcBorders>
            <w:shd w:val="clear" w:color="auto" w:fill="auto"/>
            <w:noWrap/>
            <w:vAlign w:val="center"/>
            <w:hideMark/>
          </w:tcPr>
          <w:p w14:paraId="77163AA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26/04/16</w:t>
            </w:r>
          </w:p>
        </w:tc>
        <w:tc>
          <w:tcPr>
            <w:tcW w:w="1701" w:type="dxa"/>
            <w:tcBorders>
              <w:top w:val="nil"/>
              <w:left w:val="nil"/>
              <w:bottom w:val="single" w:sz="4" w:space="0" w:color="auto"/>
              <w:right w:val="single" w:sz="4" w:space="0" w:color="auto"/>
            </w:tcBorders>
            <w:shd w:val="clear" w:color="000000" w:fill="FFFFFF"/>
            <w:vAlign w:val="center"/>
            <w:hideMark/>
          </w:tcPr>
          <w:p w14:paraId="2AD5176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Militar</w:t>
            </w:r>
          </w:p>
        </w:tc>
        <w:tc>
          <w:tcPr>
            <w:tcW w:w="2105" w:type="dxa"/>
            <w:tcBorders>
              <w:top w:val="nil"/>
              <w:left w:val="nil"/>
              <w:bottom w:val="single" w:sz="4" w:space="0" w:color="auto"/>
              <w:right w:val="single" w:sz="4" w:space="0" w:color="auto"/>
            </w:tcBorders>
            <w:shd w:val="clear" w:color="auto" w:fill="auto"/>
            <w:noWrap/>
            <w:vAlign w:val="center"/>
            <w:hideMark/>
          </w:tcPr>
          <w:p w14:paraId="4BEE7758"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16655106"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47E215C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9</w:t>
            </w:r>
          </w:p>
        </w:tc>
      </w:tr>
      <w:tr w:rsidR="00AC4A9E" w:rsidRPr="00846952" w14:paraId="3A84073E"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81D5CB1"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27/2005-IV</w:t>
            </w:r>
          </w:p>
        </w:tc>
        <w:tc>
          <w:tcPr>
            <w:tcW w:w="1265" w:type="dxa"/>
            <w:tcBorders>
              <w:top w:val="nil"/>
              <w:left w:val="nil"/>
              <w:bottom w:val="single" w:sz="4" w:space="0" w:color="auto"/>
              <w:right w:val="single" w:sz="4" w:space="0" w:color="auto"/>
            </w:tcBorders>
            <w:shd w:val="clear" w:color="auto" w:fill="auto"/>
            <w:noWrap/>
            <w:vAlign w:val="center"/>
            <w:hideMark/>
          </w:tcPr>
          <w:p w14:paraId="4979E5D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10/05/06</w:t>
            </w:r>
          </w:p>
        </w:tc>
        <w:tc>
          <w:tcPr>
            <w:tcW w:w="1701" w:type="dxa"/>
            <w:tcBorders>
              <w:top w:val="nil"/>
              <w:left w:val="nil"/>
              <w:bottom w:val="single" w:sz="4" w:space="0" w:color="auto"/>
              <w:right w:val="single" w:sz="4" w:space="0" w:color="auto"/>
            </w:tcBorders>
            <w:shd w:val="clear" w:color="000000" w:fill="FFFFFF"/>
            <w:vAlign w:val="center"/>
            <w:hideMark/>
          </w:tcPr>
          <w:p w14:paraId="6473466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Agente federal de investigación</w:t>
            </w:r>
          </w:p>
        </w:tc>
        <w:tc>
          <w:tcPr>
            <w:tcW w:w="2105" w:type="dxa"/>
            <w:tcBorders>
              <w:top w:val="nil"/>
              <w:left w:val="nil"/>
              <w:bottom w:val="single" w:sz="4" w:space="0" w:color="auto"/>
              <w:right w:val="single" w:sz="4" w:space="0" w:color="auto"/>
            </w:tcBorders>
            <w:shd w:val="clear" w:color="auto" w:fill="auto"/>
            <w:noWrap/>
            <w:vAlign w:val="center"/>
            <w:hideMark/>
          </w:tcPr>
          <w:p w14:paraId="356049A3"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49F5CDD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75E703A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5</w:t>
            </w:r>
          </w:p>
        </w:tc>
      </w:tr>
      <w:tr w:rsidR="00AC4A9E" w:rsidRPr="00846952" w14:paraId="01153315"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616ACD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II-72/2005</w:t>
            </w:r>
          </w:p>
        </w:tc>
        <w:tc>
          <w:tcPr>
            <w:tcW w:w="1265" w:type="dxa"/>
            <w:tcBorders>
              <w:top w:val="nil"/>
              <w:left w:val="nil"/>
              <w:bottom w:val="single" w:sz="4" w:space="0" w:color="auto"/>
              <w:right w:val="single" w:sz="4" w:space="0" w:color="auto"/>
            </w:tcBorders>
            <w:shd w:val="clear" w:color="auto" w:fill="auto"/>
            <w:noWrap/>
            <w:vAlign w:val="center"/>
            <w:hideMark/>
          </w:tcPr>
          <w:p w14:paraId="5EF098D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14/12/05</w:t>
            </w:r>
          </w:p>
        </w:tc>
        <w:tc>
          <w:tcPr>
            <w:tcW w:w="1701" w:type="dxa"/>
            <w:tcBorders>
              <w:top w:val="nil"/>
              <w:left w:val="nil"/>
              <w:bottom w:val="single" w:sz="4" w:space="0" w:color="auto"/>
              <w:right w:val="single" w:sz="4" w:space="0" w:color="auto"/>
            </w:tcBorders>
            <w:shd w:val="clear" w:color="000000" w:fill="FFFFFF"/>
            <w:vAlign w:val="center"/>
            <w:hideMark/>
          </w:tcPr>
          <w:p w14:paraId="4F24D59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Agente federal de investigación</w:t>
            </w:r>
          </w:p>
        </w:tc>
        <w:tc>
          <w:tcPr>
            <w:tcW w:w="2105" w:type="dxa"/>
            <w:tcBorders>
              <w:top w:val="nil"/>
              <w:left w:val="nil"/>
              <w:bottom w:val="single" w:sz="4" w:space="0" w:color="auto"/>
              <w:right w:val="single" w:sz="4" w:space="0" w:color="auto"/>
            </w:tcBorders>
            <w:shd w:val="clear" w:color="auto" w:fill="auto"/>
            <w:vAlign w:val="center"/>
            <w:hideMark/>
          </w:tcPr>
          <w:p w14:paraId="5323A986"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Privación de la libertad en modalidad de secuestro, abuso de autoridad</w:t>
            </w:r>
          </w:p>
        </w:tc>
        <w:tc>
          <w:tcPr>
            <w:tcW w:w="1157" w:type="dxa"/>
            <w:tcBorders>
              <w:top w:val="nil"/>
              <w:left w:val="nil"/>
              <w:bottom w:val="single" w:sz="4" w:space="0" w:color="auto"/>
              <w:right w:val="single" w:sz="4" w:space="0" w:color="auto"/>
            </w:tcBorders>
            <w:shd w:val="clear" w:color="auto" w:fill="auto"/>
            <w:noWrap/>
            <w:vAlign w:val="center"/>
            <w:hideMark/>
          </w:tcPr>
          <w:p w14:paraId="1A2B4A15"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Absuelto</w:t>
            </w:r>
          </w:p>
        </w:tc>
        <w:tc>
          <w:tcPr>
            <w:tcW w:w="1460" w:type="dxa"/>
            <w:tcBorders>
              <w:top w:val="nil"/>
              <w:left w:val="nil"/>
              <w:bottom w:val="single" w:sz="4" w:space="0" w:color="auto"/>
              <w:right w:val="single" w:sz="4" w:space="0" w:color="auto"/>
            </w:tcBorders>
            <w:shd w:val="clear" w:color="auto" w:fill="auto"/>
            <w:noWrap/>
            <w:vAlign w:val="center"/>
            <w:hideMark/>
          </w:tcPr>
          <w:p w14:paraId="09C5B74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NA</w:t>
            </w:r>
          </w:p>
        </w:tc>
      </w:tr>
      <w:tr w:rsidR="00AC4A9E" w:rsidRPr="00846952" w14:paraId="17F06BC2"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5554BA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101/2013-IV</w:t>
            </w:r>
          </w:p>
        </w:tc>
        <w:tc>
          <w:tcPr>
            <w:tcW w:w="1265" w:type="dxa"/>
            <w:tcBorders>
              <w:top w:val="nil"/>
              <w:left w:val="nil"/>
              <w:bottom w:val="single" w:sz="4" w:space="0" w:color="auto"/>
              <w:right w:val="single" w:sz="4" w:space="0" w:color="auto"/>
            </w:tcBorders>
            <w:shd w:val="clear" w:color="auto" w:fill="auto"/>
            <w:noWrap/>
            <w:vAlign w:val="center"/>
            <w:hideMark/>
          </w:tcPr>
          <w:p w14:paraId="544400C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13/02/17</w:t>
            </w:r>
          </w:p>
        </w:tc>
        <w:tc>
          <w:tcPr>
            <w:tcW w:w="1701" w:type="dxa"/>
            <w:tcBorders>
              <w:top w:val="nil"/>
              <w:left w:val="nil"/>
              <w:bottom w:val="single" w:sz="4" w:space="0" w:color="auto"/>
              <w:right w:val="single" w:sz="4" w:space="0" w:color="auto"/>
            </w:tcBorders>
            <w:shd w:val="clear" w:color="000000" w:fill="FFFFFF"/>
            <w:vAlign w:val="center"/>
            <w:hideMark/>
          </w:tcPr>
          <w:p w14:paraId="4FDF106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Militar</w:t>
            </w:r>
          </w:p>
        </w:tc>
        <w:tc>
          <w:tcPr>
            <w:tcW w:w="2105" w:type="dxa"/>
            <w:tcBorders>
              <w:top w:val="nil"/>
              <w:left w:val="nil"/>
              <w:bottom w:val="single" w:sz="4" w:space="0" w:color="auto"/>
              <w:right w:val="single" w:sz="4" w:space="0" w:color="auto"/>
            </w:tcBorders>
            <w:shd w:val="clear" w:color="auto" w:fill="auto"/>
            <w:vAlign w:val="center"/>
            <w:hideMark/>
          </w:tcPr>
          <w:p w14:paraId="3B85E8E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Abuso de Autoridad y Uso Ilegal de la Fuerza Pública</w:t>
            </w:r>
          </w:p>
        </w:tc>
        <w:tc>
          <w:tcPr>
            <w:tcW w:w="1157" w:type="dxa"/>
            <w:tcBorders>
              <w:top w:val="nil"/>
              <w:left w:val="nil"/>
              <w:bottom w:val="single" w:sz="4" w:space="0" w:color="auto"/>
              <w:right w:val="single" w:sz="4" w:space="0" w:color="auto"/>
            </w:tcBorders>
            <w:shd w:val="clear" w:color="auto" w:fill="auto"/>
            <w:vAlign w:val="center"/>
            <w:hideMark/>
          </w:tcPr>
          <w:p w14:paraId="1B44044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 y absuelve</w:t>
            </w:r>
          </w:p>
        </w:tc>
        <w:tc>
          <w:tcPr>
            <w:tcW w:w="1460" w:type="dxa"/>
            <w:tcBorders>
              <w:top w:val="nil"/>
              <w:left w:val="nil"/>
              <w:bottom w:val="single" w:sz="4" w:space="0" w:color="auto"/>
              <w:right w:val="single" w:sz="4" w:space="0" w:color="auto"/>
            </w:tcBorders>
            <w:shd w:val="clear" w:color="auto" w:fill="auto"/>
            <w:vAlign w:val="center"/>
            <w:hideMark/>
          </w:tcPr>
          <w:p w14:paraId="1B654AB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15</w:t>
            </w:r>
          </w:p>
        </w:tc>
      </w:tr>
      <w:tr w:rsidR="00AC4A9E" w:rsidRPr="00846952" w14:paraId="21D4702B"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D62AF1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104/2013-V</w:t>
            </w:r>
          </w:p>
        </w:tc>
        <w:tc>
          <w:tcPr>
            <w:tcW w:w="1265" w:type="dxa"/>
            <w:tcBorders>
              <w:top w:val="nil"/>
              <w:left w:val="nil"/>
              <w:bottom w:val="single" w:sz="4" w:space="0" w:color="auto"/>
              <w:right w:val="single" w:sz="4" w:space="0" w:color="auto"/>
            </w:tcBorders>
            <w:shd w:val="clear" w:color="auto" w:fill="auto"/>
            <w:noWrap/>
            <w:vAlign w:val="center"/>
            <w:hideMark/>
          </w:tcPr>
          <w:p w14:paraId="4DE304D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18/08/15</w:t>
            </w:r>
          </w:p>
        </w:tc>
        <w:tc>
          <w:tcPr>
            <w:tcW w:w="1701" w:type="dxa"/>
            <w:tcBorders>
              <w:top w:val="nil"/>
              <w:left w:val="nil"/>
              <w:bottom w:val="single" w:sz="4" w:space="0" w:color="auto"/>
              <w:right w:val="single" w:sz="4" w:space="0" w:color="auto"/>
            </w:tcBorders>
            <w:shd w:val="clear" w:color="000000" w:fill="FFFFFF"/>
            <w:vAlign w:val="center"/>
            <w:hideMark/>
          </w:tcPr>
          <w:p w14:paraId="193E0BC5"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Militar</w:t>
            </w:r>
          </w:p>
        </w:tc>
        <w:tc>
          <w:tcPr>
            <w:tcW w:w="2105" w:type="dxa"/>
            <w:tcBorders>
              <w:top w:val="nil"/>
              <w:left w:val="nil"/>
              <w:bottom w:val="single" w:sz="4" w:space="0" w:color="auto"/>
              <w:right w:val="single" w:sz="4" w:space="0" w:color="auto"/>
            </w:tcBorders>
            <w:shd w:val="clear" w:color="auto" w:fill="auto"/>
            <w:vAlign w:val="center"/>
            <w:hideMark/>
          </w:tcPr>
          <w:p w14:paraId="7C563F9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Lesiones, Amenazas</w:t>
            </w:r>
          </w:p>
        </w:tc>
        <w:tc>
          <w:tcPr>
            <w:tcW w:w="1157" w:type="dxa"/>
            <w:tcBorders>
              <w:top w:val="nil"/>
              <w:left w:val="nil"/>
              <w:bottom w:val="single" w:sz="4" w:space="0" w:color="auto"/>
              <w:right w:val="single" w:sz="4" w:space="0" w:color="auto"/>
            </w:tcBorders>
            <w:shd w:val="clear" w:color="auto" w:fill="auto"/>
            <w:noWrap/>
            <w:vAlign w:val="center"/>
            <w:hideMark/>
          </w:tcPr>
          <w:p w14:paraId="13D3229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Absuelto</w:t>
            </w:r>
          </w:p>
        </w:tc>
        <w:tc>
          <w:tcPr>
            <w:tcW w:w="1460" w:type="dxa"/>
            <w:tcBorders>
              <w:top w:val="nil"/>
              <w:left w:val="nil"/>
              <w:bottom w:val="single" w:sz="4" w:space="0" w:color="auto"/>
              <w:right w:val="single" w:sz="4" w:space="0" w:color="auto"/>
            </w:tcBorders>
            <w:shd w:val="clear" w:color="auto" w:fill="auto"/>
            <w:noWrap/>
            <w:vAlign w:val="center"/>
            <w:hideMark/>
          </w:tcPr>
          <w:p w14:paraId="25E3738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NA</w:t>
            </w:r>
          </w:p>
        </w:tc>
      </w:tr>
      <w:tr w:rsidR="00AC4A9E" w:rsidRPr="00846952" w14:paraId="6659BBC4"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DDFDED6"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41/2013-1</w:t>
            </w:r>
          </w:p>
        </w:tc>
        <w:tc>
          <w:tcPr>
            <w:tcW w:w="1265" w:type="dxa"/>
            <w:tcBorders>
              <w:top w:val="nil"/>
              <w:left w:val="nil"/>
              <w:bottom w:val="single" w:sz="4" w:space="0" w:color="auto"/>
              <w:right w:val="single" w:sz="4" w:space="0" w:color="auto"/>
            </w:tcBorders>
            <w:shd w:val="clear" w:color="auto" w:fill="auto"/>
            <w:noWrap/>
            <w:vAlign w:val="center"/>
            <w:hideMark/>
          </w:tcPr>
          <w:p w14:paraId="4074A0F1"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30/09/15</w:t>
            </w:r>
          </w:p>
        </w:tc>
        <w:tc>
          <w:tcPr>
            <w:tcW w:w="1701" w:type="dxa"/>
            <w:tcBorders>
              <w:top w:val="nil"/>
              <w:left w:val="nil"/>
              <w:bottom w:val="single" w:sz="4" w:space="0" w:color="auto"/>
              <w:right w:val="single" w:sz="4" w:space="0" w:color="auto"/>
            </w:tcBorders>
            <w:shd w:val="clear" w:color="000000" w:fill="FFFFFF"/>
            <w:vAlign w:val="center"/>
            <w:hideMark/>
          </w:tcPr>
          <w:p w14:paraId="554F184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Policía federal</w:t>
            </w:r>
          </w:p>
        </w:tc>
        <w:tc>
          <w:tcPr>
            <w:tcW w:w="2105" w:type="dxa"/>
            <w:tcBorders>
              <w:top w:val="nil"/>
              <w:left w:val="nil"/>
              <w:bottom w:val="single" w:sz="4" w:space="0" w:color="auto"/>
              <w:right w:val="single" w:sz="4" w:space="0" w:color="auto"/>
            </w:tcBorders>
            <w:shd w:val="clear" w:color="auto" w:fill="auto"/>
            <w:noWrap/>
            <w:vAlign w:val="center"/>
            <w:hideMark/>
          </w:tcPr>
          <w:p w14:paraId="5663A772"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481BB51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69FE92F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31</w:t>
            </w:r>
          </w:p>
        </w:tc>
      </w:tr>
      <w:tr w:rsidR="00AC4A9E" w:rsidRPr="00846952" w14:paraId="25609A81"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1B852F76"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28/2012</w:t>
            </w:r>
          </w:p>
        </w:tc>
        <w:tc>
          <w:tcPr>
            <w:tcW w:w="1265" w:type="dxa"/>
            <w:tcBorders>
              <w:top w:val="nil"/>
              <w:left w:val="nil"/>
              <w:bottom w:val="single" w:sz="4" w:space="0" w:color="auto"/>
              <w:right w:val="single" w:sz="4" w:space="0" w:color="auto"/>
            </w:tcBorders>
            <w:shd w:val="clear" w:color="auto" w:fill="auto"/>
            <w:noWrap/>
            <w:vAlign w:val="center"/>
            <w:hideMark/>
          </w:tcPr>
          <w:p w14:paraId="5F7A92DD"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03/06/14</w:t>
            </w:r>
          </w:p>
        </w:tc>
        <w:tc>
          <w:tcPr>
            <w:tcW w:w="1701" w:type="dxa"/>
            <w:tcBorders>
              <w:top w:val="nil"/>
              <w:left w:val="nil"/>
              <w:bottom w:val="single" w:sz="4" w:space="0" w:color="auto"/>
              <w:right w:val="single" w:sz="4" w:space="0" w:color="auto"/>
            </w:tcBorders>
            <w:shd w:val="clear" w:color="000000" w:fill="FFFFFF"/>
            <w:vAlign w:val="center"/>
            <w:hideMark/>
          </w:tcPr>
          <w:p w14:paraId="7C610FAF"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Policía federal</w:t>
            </w:r>
          </w:p>
        </w:tc>
        <w:tc>
          <w:tcPr>
            <w:tcW w:w="2105" w:type="dxa"/>
            <w:tcBorders>
              <w:top w:val="nil"/>
              <w:left w:val="nil"/>
              <w:bottom w:val="single" w:sz="4" w:space="0" w:color="auto"/>
              <w:right w:val="single" w:sz="4" w:space="0" w:color="auto"/>
            </w:tcBorders>
            <w:shd w:val="clear" w:color="auto" w:fill="auto"/>
            <w:noWrap/>
            <w:vAlign w:val="center"/>
            <w:hideMark/>
          </w:tcPr>
          <w:p w14:paraId="32A39FE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Extorsión</w:t>
            </w:r>
          </w:p>
        </w:tc>
        <w:tc>
          <w:tcPr>
            <w:tcW w:w="1157" w:type="dxa"/>
            <w:tcBorders>
              <w:top w:val="nil"/>
              <w:left w:val="nil"/>
              <w:bottom w:val="single" w:sz="4" w:space="0" w:color="auto"/>
              <w:right w:val="single" w:sz="4" w:space="0" w:color="auto"/>
            </w:tcBorders>
            <w:shd w:val="clear" w:color="auto" w:fill="auto"/>
            <w:noWrap/>
            <w:vAlign w:val="center"/>
            <w:hideMark/>
          </w:tcPr>
          <w:p w14:paraId="4A39B64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2312DAC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9</w:t>
            </w:r>
          </w:p>
        </w:tc>
      </w:tr>
      <w:tr w:rsidR="00AC4A9E" w:rsidRPr="00846952" w14:paraId="234A0CF4" w14:textId="77777777" w:rsidTr="00C64BD7">
        <w:tc>
          <w:tcPr>
            <w:tcW w:w="11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140AE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179/2006</w:t>
            </w:r>
          </w:p>
        </w:tc>
        <w:tc>
          <w:tcPr>
            <w:tcW w:w="1265" w:type="dxa"/>
            <w:tcBorders>
              <w:top w:val="nil"/>
              <w:left w:val="nil"/>
              <w:bottom w:val="single" w:sz="4" w:space="0" w:color="auto"/>
              <w:right w:val="single" w:sz="4" w:space="0" w:color="auto"/>
            </w:tcBorders>
            <w:shd w:val="clear" w:color="auto" w:fill="D9D9D9" w:themeFill="background1" w:themeFillShade="D9"/>
            <w:noWrap/>
            <w:vAlign w:val="center"/>
            <w:hideMark/>
          </w:tcPr>
          <w:p w14:paraId="49F2F0B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30/09/09</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0808C006"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Dirección Federal de Seguridad</w:t>
            </w:r>
          </w:p>
        </w:tc>
        <w:tc>
          <w:tcPr>
            <w:tcW w:w="2105" w:type="dxa"/>
            <w:tcBorders>
              <w:top w:val="nil"/>
              <w:left w:val="nil"/>
              <w:bottom w:val="single" w:sz="4" w:space="0" w:color="auto"/>
              <w:right w:val="single" w:sz="4" w:space="0" w:color="auto"/>
            </w:tcBorders>
            <w:shd w:val="clear" w:color="auto" w:fill="D9D9D9" w:themeFill="background1" w:themeFillShade="D9"/>
            <w:vAlign w:val="center"/>
            <w:hideMark/>
          </w:tcPr>
          <w:p w14:paraId="52BB541C"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Homicidio calificado y asociación delictuosa</w:t>
            </w:r>
          </w:p>
        </w:tc>
        <w:tc>
          <w:tcPr>
            <w:tcW w:w="1157" w:type="dxa"/>
            <w:tcBorders>
              <w:top w:val="nil"/>
              <w:left w:val="nil"/>
              <w:bottom w:val="single" w:sz="4" w:space="0" w:color="auto"/>
              <w:right w:val="single" w:sz="4" w:space="0" w:color="auto"/>
            </w:tcBorders>
            <w:shd w:val="clear" w:color="auto" w:fill="D9D9D9" w:themeFill="background1" w:themeFillShade="D9"/>
            <w:vAlign w:val="center"/>
            <w:hideMark/>
          </w:tcPr>
          <w:p w14:paraId="77969D45"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Condena y absuelve</w:t>
            </w:r>
          </w:p>
        </w:tc>
        <w:tc>
          <w:tcPr>
            <w:tcW w:w="1460" w:type="dxa"/>
            <w:tcBorders>
              <w:top w:val="nil"/>
              <w:left w:val="nil"/>
              <w:bottom w:val="single" w:sz="4" w:space="0" w:color="auto"/>
              <w:right w:val="single" w:sz="4" w:space="0" w:color="auto"/>
            </w:tcBorders>
            <w:shd w:val="clear" w:color="auto" w:fill="D9D9D9" w:themeFill="background1" w:themeFillShade="D9"/>
            <w:vAlign w:val="center"/>
            <w:hideMark/>
          </w:tcPr>
          <w:p w14:paraId="681C5DDE"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79</w:t>
            </w:r>
          </w:p>
        </w:tc>
      </w:tr>
      <w:tr w:rsidR="00AC4A9E" w:rsidRPr="00846952" w14:paraId="722E5294"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ADFB76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87/2011</w:t>
            </w:r>
          </w:p>
        </w:tc>
        <w:tc>
          <w:tcPr>
            <w:tcW w:w="1265" w:type="dxa"/>
            <w:tcBorders>
              <w:top w:val="nil"/>
              <w:left w:val="nil"/>
              <w:bottom w:val="single" w:sz="4" w:space="0" w:color="auto"/>
              <w:right w:val="single" w:sz="4" w:space="0" w:color="auto"/>
            </w:tcBorders>
            <w:shd w:val="clear" w:color="auto" w:fill="auto"/>
            <w:noWrap/>
            <w:vAlign w:val="center"/>
            <w:hideMark/>
          </w:tcPr>
          <w:p w14:paraId="238C685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15/11/13</w:t>
            </w:r>
          </w:p>
        </w:tc>
        <w:tc>
          <w:tcPr>
            <w:tcW w:w="1701" w:type="dxa"/>
            <w:tcBorders>
              <w:top w:val="nil"/>
              <w:left w:val="nil"/>
              <w:bottom w:val="single" w:sz="4" w:space="0" w:color="auto"/>
              <w:right w:val="single" w:sz="4" w:space="0" w:color="auto"/>
            </w:tcBorders>
            <w:shd w:val="clear" w:color="000000" w:fill="FFFFFF"/>
            <w:vAlign w:val="center"/>
            <w:hideMark/>
          </w:tcPr>
          <w:p w14:paraId="5C8C0E8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Policía federal</w:t>
            </w:r>
          </w:p>
        </w:tc>
        <w:tc>
          <w:tcPr>
            <w:tcW w:w="2105" w:type="dxa"/>
            <w:tcBorders>
              <w:top w:val="nil"/>
              <w:left w:val="nil"/>
              <w:bottom w:val="single" w:sz="4" w:space="0" w:color="auto"/>
              <w:right w:val="single" w:sz="4" w:space="0" w:color="auto"/>
            </w:tcBorders>
            <w:shd w:val="clear" w:color="auto" w:fill="auto"/>
            <w:noWrap/>
            <w:vAlign w:val="center"/>
            <w:hideMark/>
          </w:tcPr>
          <w:p w14:paraId="04151B1F"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38BE26D7"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71E4D0E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5</w:t>
            </w:r>
          </w:p>
        </w:tc>
      </w:tr>
      <w:tr w:rsidR="00AC4A9E" w:rsidRPr="00846952" w14:paraId="7E3D38AF"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622E7EE"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19/2013</w:t>
            </w:r>
          </w:p>
        </w:tc>
        <w:tc>
          <w:tcPr>
            <w:tcW w:w="1265" w:type="dxa"/>
            <w:tcBorders>
              <w:top w:val="nil"/>
              <w:left w:val="nil"/>
              <w:bottom w:val="single" w:sz="4" w:space="0" w:color="auto"/>
              <w:right w:val="single" w:sz="4" w:space="0" w:color="auto"/>
            </w:tcBorders>
            <w:shd w:val="clear" w:color="auto" w:fill="auto"/>
            <w:noWrap/>
            <w:vAlign w:val="center"/>
            <w:hideMark/>
          </w:tcPr>
          <w:p w14:paraId="3428928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28/04/17</w:t>
            </w:r>
          </w:p>
        </w:tc>
        <w:tc>
          <w:tcPr>
            <w:tcW w:w="1701" w:type="dxa"/>
            <w:tcBorders>
              <w:top w:val="nil"/>
              <w:left w:val="nil"/>
              <w:bottom w:val="single" w:sz="4" w:space="0" w:color="auto"/>
              <w:right w:val="single" w:sz="4" w:space="0" w:color="auto"/>
            </w:tcBorders>
            <w:shd w:val="clear" w:color="000000" w:fill="FFFFFF"/>
            <w:vAlign w:val="center"/>
            <w:hideMark/>
          </w:tcPr>
          <w:p w14:paraId="1389B1F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Militar</w:t>
            </w:r>
          </w:p>
        </w:tc>
        <w:tc>
          <w:tcPr>
            <w:tcW w:w="2105" w:type="dxa"/>
            <w:tcBorders>
              <w:top w:val="nil"/>
              <w:left w:val="nil"/>
              <w:bottom w:val="single" w:sz="4" w:space="0" w:color="auto"/>
              <w:right w:val="single" w:sz="4" w:space="0" w:color="auto"/>
            </w:tcBorders>
            <w:shd w:val="clear" w:color="auto" w:fill="auto"/>
            <w:noWrap/>
            <w:vAlign w:val="center"/>
            <w:hideMark/>
          </w:tcPr>
          <w:p w14:paraId="247C11D1"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46C4394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70D6DF3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15</w:t>
            </w:r>
          </w:p>
        </w:tc>
      </w:tr>
      <w:tr w:rsidR="00AC4A9E" w:rsidRPr="00846952" w14:paraId="47035782" w14:textId="77777777" w:rsidTr="00C64BD7">
        <w:tc>
          <w:tcPr>
            <w:tcW w:w="114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B48258"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194/2017</w:t>
            </w:r>
          </w:p>
        </w:tc>
        <w:tc>
          <w:tcPr>
            <w:tcW w:w="1265" w:type="dxa"/>
            <w:tcBorders>
              <w:top w:val="nil"/>
              <w:left w:val="nil"/>
              <w:bottom w:val="single" w:sz="4" w:space="0" w:color="auto"/>
              <w:right w:val="single" w:sz="4" w:space="0" w:color="auto"/>
            </w:tcBorders>
            <w:shd w:val="clear" w:color="auto" w:fill="D9D9D9" w:themeFill="background1" w:themeFillShade="D9"/>
            <w:noWrap/>
            <w:vAlign w:val="center"/>
            <w:hideMark/>
          </w:tcPr>
          <w:p w14:paraId="60F92BAE"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15/4/2019</w:t>
            </w:r>
          </w:p>
        </w:tc>
        <w:tc>
          <w:tcPr>
            <w:tcW w:w="1701" w:type="dxa"/>
            <w:tcBorders>
              <w:top w:val="nil"/>
              <w:left w:val="nil"/>
              <w:bottom w:val="single" w:sz="4" w:space="0" w:color="auto"/>
              <w:right w:val="single" w:sz="4" w:space="0" w:color="auto"/>
            </w:tcBorders>
            <w:shd w:val="clear" w:color="auto" w:fill="D9D9D9" w:themeFill="background1" w:themeFillShade="D9"/>
            <w:noWrap/>
            <w:vAlign w:val="center"/>
            <w:hideMark/>
          </w:tcPr>
          <w:p w14:paraId="520D9783"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Policía Estatal</w:t>
            </w:r>
          </w:p>
        </w:tc>
        <w:tc>
          <w:tcPr>
            <w:tcW w:w="2105" w:type="dxa"/>
            <w:tcBorders>
              <w:top w:val="nil"/>
              <w:left w:val="nil"/>
              <w:bottom w:val="single" w:sz="4" w:space="0" w:color="auto"/>
              <w:right w:val="single" w:sz="4" w:space="0" w:color="auto"/>
            </w:tcBorders>
            <w:shd w:val="clear" w:color="auto" w:fill="D9D9D9" w:themeFill="background1" w:themeFillShade="D9"/>
            <w:noWrap/>
            <w:vAlign w:val="center"/>
            <w:hideMark/>
          </w:tcPr>
          <w:p w14:paraId="6E7A6C9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Tortura, Homicidio, Ocultamiento de cadáver</w:t>
            </w:r>
          </w:p>
        </w:tc>
        <w:tc>
          <w:tcPr>
            <w:tcW w:w="1157" w:type="dxa"/>
            <w:tcBorders>
              <w:top w:val="nil"/>
              <w:left w:val="nil"/>
              <w:bottom w:val="single" w:sz="4" w:space="0" w:color="auto"/>
              <w:right w:val="single" w:sz="4" w:space="0" w:color="auto"/>
            </w:tcBorders>
            <w:shd w:val="clear" w:color="auto" w:fill="D9D9D9" w:themeFill="background1" w:themeFillShade="D9"/>
            <w:noWrap/>
            <w:vAlign w:val="center"/>
            <w:hideMark/>
          </w:tcPr>
          <w:p w14:paraId="69A5655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D9D9D9" w:themeFill="background1" w:themeFillShade="D9"/>
            <w:noWrap/>
            <w:vAlign w:val="center"/>
            <w:hideMark/>
          </w:tcPr>
          <w:p w14:paraId="092E0F0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57</w:t>
            </w:r>
          </w:p>
        </w:tc>
      </w:tr>
      <w:tr w:rsidR="00AC4A9E" w:rsidRPr="00846952" w14:paraId="4443DD5E"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640F981"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2831/15</w:t>
            </w:r>
          </w:p>
        </w:tc>
        <w:tc>
          <w:tcPr>
            <w:tcW w:w="1265" w:type="dxa"/>
            <w:tcBorders>
              <w:top w:val="nil"/>
              <w:left w:val="nil"/>
              <w:bottom w:val="single" w:sz="4" w:space="0" w:color="auto"/>
              <w:right w:val="single" w:sz="4" w:space="0" w:color="auto"/>
            </w:tcBorders>
            <w:shd w:val="clear" w:color="auto" w:fill="auto"/>
            <w:noWrap/>
            <w:vAlign w:val="center"/>
            <w:hideMark/>
          </w:tcPr>
          <w:p w14:paraId="65B0BD8D"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09/12/19</w:t>
            </w:r>
          </w:p>
        </w:tc>
        <w:tc>
          <w:tcPr>
            <w:tcW w:w="1701" w:type="dxa"/>
            <w:tcBorders>
              <w:top w:val="nil"/>
              <w:left w:val="nil"/>
              <w:bottom w:val="single" w:sz="4" w:space="0" w:color="auto"/>
              <w:right w:val="single" w:sz="4" w:space="0" w:color="auto"/>
            </w:tcBorders>
            <w:shd w:val="clear" w:color="000000" w:fill="FFFFFF"/>
            <w:vAlign w:val="center"/>
            <w:hideMark/>
          </w:tcPr>
          <w:p w14:paraId="4864B57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Policía municipal</w:t>
            </w:r>
          </w:p>
        </w:tc>
        <w:tc>
          <w:tcPr>
            <w:tcW w:w="2105" w:type="dxa"/>
            <w:tcBorders>
              <w:top w:val="nil"/>
              <w:left w:val="nil"/>
              <w:bottom w:val="single" w:sz="4" w:space="0" w:color="auto"/>
              <w:right w:val="single" w:sz="4" w:space="0" w:color="auto"/>
            </w:tcBorders>
            <w:shd w:val="clear" w:color="auto" w:fill="auto"/>
            <w:noWrap/>
            <w:vAlign w:val="center"/>
            <w:hideMark/>
          </w:tcPr>
          <w:p w14:paraId="5A91AD7B"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21B92413"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56A99EF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5</w:t>
            </w:r>
          </w:p>
        </w:tc>
      </w:tr>
      <w:tr w:rsidR="00AC4A9E" w:rsidRPr="00846952" w14:paraId="46822282" w14:textId="77777777" w:rsidTr="00C64BD7">
        <w:tc>
          <w:tcPr>
            <w:tcW w:w="1140" w:type="dxa"/>
            <w:tcBorders>
              <w:top w:val="nil"/>
              <w:left w:val="single" w:sz="4" w:space="0" w:color="auto"/>
              <w:bottom w:val="single" w:sz="4" w:space="0" w:color="auto"/>
              <w:right w:val="single" w:sz="4" w:space="0" w:color="auto"/>
            </w:tcBorders>
            <w:shd w:val="clear" w:color="auto" w:fill="auto"/>
            <w:vAlign w:val="center"/>
            <w:hideMark/>
          </w:tcPr>
          <w:p w14:paraId="7A903A1C" w14:textId="77777777" w:rsidR="00AC4A9E" w:rsidRPr="00846952" w:rsidRDefault="00AC4A9E" w:rsidP="00C64BD7">
            <w:pPr>
              <w:jc w:val="center"/>
              <w:rPr>
                <w:rFonts w:ascii="Helvetica" w:hAnsi="Helvetica" w:cs="Arial"/>
                <w:sz w:val="18"/>
                <w:szCs w:val="18"/>
              </w:rPr>
            </w:pPr>
            <w:r>
              <w:rPr>
                <w:rFonts w:ascii="Helvetica" w:hAnsi="Helvetica" w:cs="Arial"/>
                <w:sz w:val="18"/>
                <w:szCs w:val="18"/>
              </w:rPr>
              <w:t>41/2014 y acumulados</w:t>
            </w:r>
          </w:p>
        </w:tc>
        <w:tc>
          <w:tcPr>
            <w:tcW w:w="1265" w:type="dxa"/>
            <w:tcBorders>
              <w:top w:val="nil"/>
              <w:left w:val="nil"/>
              <w:bottom w:val="single" w:sz="4" w:space="0" w:color="auto"/>
              <w:right w:val="single" w:sz="4" w:space="0" w:color="auto"/>
            </w:tcBorders>
            <w:shd w:val="clear" w:color="auto" w:fill="auto"/>
            <w:vAlign w:val="center"/>
            <w:hideMark/>
          </w:tcPr>
          <w:p w14:paraId="0A1231A5"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12/04/2016</w:t>
            </w:r>
          </w:p>
        </w:tc>
        <w:tc>
          <w:tcPr>
            <w:tcW w:w="1701" w:type="dxa"/>
            <w:tcBorders>
              <w:top w:val="nil"/>
              <w:left w:val="nil"/>
              <w:bottom w:val="single" w:sz="4" w:space="0" w:color="auto"/>
              <w:right w:val="single" w:sz="4" w:space="0" w:color="auto"/>
            </w:tcBorders>
            <w:shd w:val="clear" w:color="D8D8D8" w:fill="FFFFFF"/>
            <w:vAlign w:val="center"/>
            <w:hideMark/>
          </w:tcPr>
          <w:p w14:paraId="770748F3"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Policía Municipal</w:t>
            </w:r>
          </w:p>
        </w:tc>
        <w:tc>
          <w:tcPr>
            <w:tcW w:w="2105" w:type="dxa"/>
            <w:tcBorders>
              <w:top w:val="nil"/>
              <w:left w:val="nil"/>
              <w:bottom w:val="single" w:sz="4" w:space="0" w:color="auto"/>
              <w:right w:val="single" w:sz="4" w:space="0" w:color="auto"/>
            </w:tcBorders>
            <w:shd w:val="clear" w:color="auto" w:fill="auto"/>
            <w:vAlign w:val="center"/>
            <w:hideMark/>
          </w:tcPr>
          <w:p w14:paraId="6D869374"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Tortura, Simulación de la existencia de pruebas</w:t>
            </w:r>
          </w:p>
        </w:tc>
        <w:tc>
          <w:tcPr>
            <w:tcW w:w="1157" w:type="dxa"/>
            <w:tcBorders>
              <w:top w:val="nil"/>
              <w:left w:val="nil"/>
              <w:bottom w:val="single" w:sz="4" w:space="0" w:color="auto"/>
              <w:right w:val="single" w:sz="4" w:space="0" w:color="auto"/>
            </w:tcBorders>
            <w:shd w:val="clear" w:color="auto" w:fill="auto"/>
            <w:noWrap/>
            <w:vAlign w:val="center"/>
            <w:hideMark/>
          </w:tcPr>
          <w:p w14:paraId="5ED3A8AC"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78FABF1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10</w:t>
            </w:r>
          </w:p>
        </w:tc>
      </w:tr>
      <w:tr w:rsidR="00AC4A9E" w:rsidRPr="00846952" w14:paraId="780CEB6A"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0972BBF5"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493/2012</w:t>
            </w:r>
          </w:p>
        </w:tc>
        <w:tc>
          <w:tcPr>
            <w:tcW w:w="1265" w:type="dxa"/>
            <w:tcBorders>
              <w:top w:val="nil"/>
              <w:left w:val="nil"/>
              <w:bottom w:val="single" w:sz="4" w:space="0" w:color="auto"/>
              <w:right w:val="single" w:sz="4" w:space="0" w:color="auto"/>
            </w:tcBorders>
            <w:shd w:val="clear" w:color="auto" w:fill="auto"/>
            <w:noWrap/>
            <w:vAlign w:val="center"/>
            <w:hideMark/>
          </w:tcPr>
          <w:p w14:paraId="11A15A9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13/07/16</w:t>
            </w:r>
          </w:p>
        </w:tc>
        <w:tc>
          <w:tcPr>
            <w:tcW w:w="1701" w:type="dxa"/>
            <w:tcBorders>
              <w:top w:val="nil"/>
              <w:left w:val="nil"/>
              <w:bottom w:val="single" w:sz="4" w:space="0" w:color="auto"/>
              <w:right w:val="single" w:sz="4" w:space="0" w:color="auto"/>
            </w:tcBorders>
            <w:shd w:val="clear" w:color="000000" w:fill="FFFFFF"/>
            <w:vAlign w:val="center"/>
            <w:hideMark/>
          </w:tcPr>
          <w:p w14:paraId="761DB36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Oficial de tránsito y vialidad</w:t>
            </w:r>
          </w:p>
        </w:tc>
        <w:tc>
          <w:tcPr>
            <w:tcW w:w="2105" w:type="dxa"/>
            <w:tcBorders>
              <w:top w:val="nil"/>
              <w:left w:val="nil"/>
              <w:bottom w:val="single" w:sz="4" w:space="0" w:color="auto"/>
              <w:right w:val="single" w:sz="4" w:space="0" w:color="auto"/>
            </w:tcBorders>
            <w:shd w:val="clear" w:color="auto" w:fill="auto"/>
            <w:noWrap/>
            <w:vAlign w:val="center"/>
            <w:hideMark/>
          </w:tcPr>
          <w:p w14:paraId="6C78D1CE"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7215C60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485B77BA"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22</w:t>
            </w:r>
          </w:p>
        </w:tc>
      </w:tr>
      <w:tr w:rsidR="00AC4A9E" w:rsidRPr="00846952" w14:paraId="19601810" w14:textId="77777777" w:rsidTr="00C64BD7">
        <w:tc>
          <w:tcPr>
            <w:tcW w:w="1140" w:type="dxa"/>
            <w:tcBorders>
              <w:top w:val="nil"/>
              <w:left w:val="single" w:sz="4" w:space="0" w:color="auto"/>
              <w:bottom w:val="single" w:sz="4" w:space="0" w:color="auto"/>
              <w:right w:val="single" w:sz="4" w:space="0" w:color="auto"/>
            </w:tcBorders>
            <w:shd w:val="clear" w:color="auto" w:fill="auto"/>
            <w:vAlign w:val="center"/>
            <w:hideMark/>
          </w:tcPr>
          <w:p w14:paraId="22B04156"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554/11</w:t>
            </w:r>
          </w:p>
        </w:tc>
        <w:tc>
          <w:tcPr>
            <w:tcW w:w="1265" w:type="dxa"/>
            <w:tcBorders>
              <w:top w:val="nil"/>
              <w:left w:val="nil"/>
              <w:bottom w:val="single" w:sz="4" w:space="0" w:color="auto"/>
              <w:right w:val="single" w:sz="4" w:space="0" w:color="auto"/>
            </w:tcBorders>
            <w:shd w:val="clear" w:color="auto" w:fill="auto"/>
            <w:vAlign w:val="center"/>
            <w:hideMark/>
          </w:tcPr>
          <w:p w14:paraId="5EC75595"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10/11/2014</w:t>
            </w:r>
          </w:p>
        </w:tc>
        <w:tc>
          <w:tcPr>
            <w:tcW w:w="1701" w:type="dxa"/>
            <w:tcBorders>
              <w:top w:val="nil"/>
              <w:left w:val="nil"/>
              <w:bottom w:val="single" w:sz="4" w:space="0" w:color="auto"/>
              <w:right w:val="single" w:sz="4" w:space="0" w:color="auto"/>
            </w:tcBorders>
            <w:shd w:val="clear" w:color="D8D8D8" w:fill="FFFFFF"/>
            <w:vAlign w:val="center"/>
            <w:hideMark/>
          </w:tcPr>
          <w:p w14:paraId="202B311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Policía Municipal</w:t>
            </w:r>
          </w:p>
        </w:tc>
        <w:tc>
          <w:tcPr>
            <w:tcW w:w="2105" w:type="dxa"/>
            <w:tcBorders>
              <w:top w:val="nil"/>
              <w:left w:val="nil"/>
              <w:bottom w:val="single" w:sz="4" w:space="0" w:color="auto"/>
              <w:right w:val="single" w:sz="4" w:space="0" w:color="auto"/>
            </w:tcBorders>
            <w:shd w:val="clear" w:color="auto" w:fill="auto"/>
            <w:noWrap/>
            <w:vAlign w:val="center"/>
            <w:hideMark/>
          </w:tcPr>
          <w:p w14:paraId="3405F6EC"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63DE99D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Absuelto</w:t>
            </w:r>
          </w:p>
        </w:tc>
        <w:tc>
          <w:tcPr>
            <w:tcW w:w="1460" w:type="dxa"/>
            <w:tcBorders>
              <w:top w:val="nil"/>
              <w:left w:val="nil"/>
              <w:bottom w:val="single" w:sz="4" w:space="0" w:color="auto"/>
              <w:right w:val="single" w:sz="4" w:space="0" w:color="auto"/>
            </w:tcBorders>
            <w:shd w:val="clear" w:color="auto" w:fill="auto"/>
            <w:noWrap/>
            <w:vAlign w:val="center"/>
            <w:hideMark/>
          </w:tcPr>
          <w:p w14:paraId="6DC0D2B3"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NA</w:t>
            </w:r>
          </w:p>
        </w:tc>
      </w:tr>
      <w:tr w:rsidR="00AC4A9E" w:rsidRPr="00846952" w14:paraId="6693FD10"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1687DB2E"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10/2017</w:t>
            </w:r>
          </w:p>
        </w:tc>
        <w:tc>
          <w:tcPr>
            <w:tcW w:w="1265" w:type="dxa"/>
            <w:tcBorders>
              <w:top w:val="nil"/>
              <w:left w:val="nil"/>
              <w:bottom w:val="single" w:sz="4" w:space="0" w:color="auto"/>
              <w:right w:val="single" w:sz="4" w:space="0" w:color="auto"/>
            </w:tcBorders>
            <w:shd w:val="clear" w:color="auto" w:fill="auto"/>
            <w:noWrap/>
            <w:vAlign w:val="center"/>
            <w:hideMark/>
          </w:tcPr>
          <w:p w14:paraId="74F0447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05/12/18</w:t>
            </w:r>
          </w:p>
        </w:tc>
        <w:tc>
          <w:tcPr>
            <w:tcW w:w="1701" w:type="dxa"/>
            <w:tcBorders>
              <w:top w:val="nil"/>
              <w:left w:val="nil"/>
              <w:bottom w:val="single" w:sz="4" w:space="0" w:color="auto"/>
              <w:right w:val="single" w:sz="4" w:space="0" w:color="auto"/>
            </w:tcBorders>
            <w:shd w:val="clear" w:color="000000" w:fill="FFFFFF"/>
            <w:vAlign w:val="center"/>
            <w:hideMark/>
          </w:tcPr>
          <w:p w14:paraId="40801B8B"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Custodio en Cereso</w:t>
            </w:r>
          </w:p>
        </w:tc>
        <w:tc>
          <w:tcPr>
            <w:tcW w:w="2105" w:type="dxa"/>
            <w:tcBorders>
              <w:top w:val="nil"/>
              <w:left w:val="nil"/>
              <w:bottom w:val="single" w:sz="4" w:space="0" w:color="auto"/>
              <w:right w:val="single" w:sz="4" w:space="0" w:color="auto"/>
            </w:tcBorders>
            <w:shd w:val="clear" w:color="auto" w:fill="auto"/>
            <w:noWrap/>
            <w:vAlign w:val="center"/>
            <w:hideMark/>
          </w:tcPr>
          <w:p w14:paraId="0DAD7CE4" w14:textId="77777777" w:rsidR="00AC4A9E" w:rsidRPr="00846952" w:rsidRDefault="00AC4A9E" w:rsidP="00C64BD7">
            <w:pPr>
              <w:jc w:val="center"/>
              <w:rPr>
                <w:rFonts w:ascii="Helvetica" w:hAnsi="Helvetica" w:cs="Arial"/>
                <w:color w:val="000000"/>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539CDEB0"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4417F80E" w14:textId="77777777" w:rsidR="00AC4A9E" w:rsidRPr="00846952" w:rsidRDefault="00AC4A9E" w:rsidP="00C64BD7">
            <w:pPr>
              <w:jc w:val="center"/>
              <w:rPr>
                <w:rFonts w:ascii="Helvetica" w:hAnsi="Helvetica" w:cs="Arial"/>
                <w:color w:val="000000"/>
                <w:sz w:val="18"/>
                <w:szCs w:val="18"/>
              </w:rPr>
            </w:pPr>
            <w:r w:rsidRPr="00846952">
              <w:rPr>
                <w:rFonts w:ascii="Helvetica" w:hAnsi="Helvetica" w:cs="Arial"/>
                <w:color w:val="000000"/>
                <w:sz w:val="18"/>
                <w:szCs w:val="18"/>
              </w:rPr>
              <w:t>28</w:t>
            </w:r>
          </w:p>
        </w:tc>
      </w:tr>
      <w:tr w:rsidR="00AC4A9E" w:rsidRPr="00846952" w14:paraId="20A03F13" w14:textId="77777777" w:rsidTr="00C64BD7">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56602FB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ND</w:t>
            </w:r>
          </w:p>
        </w:tc>
        <w:tc>
          <w:tcPr>
            <w:tcW w:w="1265" w:type="dxa"/>
            <w:tcBorders>
              <w:top w:val="nil"/>
              <w:left w:val="nil"/>
              <w:bottom w:val="single" w:sz="4" w:space="0" w:color="auto"/>
              <w:right w:val="single" w:sz="4" w:space="0" w:color="auto"/>
            </w:tcBorders>
            <w:shd w:val="clear" w:color="auto" w:fill="auto"/>
            <w:noWrap/>
            <w:vAlign w:val="center"/>
            <w:hideMark/>
          </w:tcPr>
          <w:p w14:paraId="4312942F"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26/03/19</w:t>
            </w:r>
          </w:p>
        </w:tc>
        <w:tc>
          <w:tcPr>
            <w:tcW w:w="1701" w:type="dxa"/>
            <w:tcBorders>
              <w:top w:val="nil"/>
              <w:left w:val="nil"/>
              <w:bottom w:val="single" w:sz="4" w:space="0" w:color="auto"/>
              <w:right w:val="single" w:sz="4" w:space="0" w:color="auto"/>
            </w:tcBorders>
            <w:shd w:val="clear" w:color="000000" w:fill="FFFFFF"/>
            <w:noWrap/>
            <w:vAlign w:val="center"/>
            <w:hideMark/>
          </w:tcPr>
          <w:p w14:paraId="3ACBA4B8"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Policía</w:t>
            </w:r>
            <w:r>
              <w:rPr>
                <w:rFonts w:ascii="Helvetica" w:hAnsi="Helvetica" w:cs="Arial"/>
                <w:sz w:val="18"/>
                <w:szCs w:val="18"/>
              </w:rPr>
              <w:t xml:space="preserve"> Municipal</w:t>
            </w:r>
          </w:p>
        </w:tc>
        <w:tc>
          <w:tcPr>
            <w:tcW w:w="2105" w:type="dxa"/>
            <w:tcBorders>
              <w:top w:val="nil"/>
              <w:left w:val="nil"/>
              <w:bottom w:val="single" w:sz="4" w:space="0" w:color="auto"/>
              <w:right w:val="single" w:sz="4" w:space="0" w:color="auto"/>
            </w:tcBorders>
            <w:shd w:val="clear" w:color="auto" w:fill="auto"/>
            <w:noWrap/>
            <w:vAlign w:val="center"/>
            <w:hideMark/>
          </w:tcPr>
          <w:p w14:paraId="317AF1EC" w14:textId="77777777" w:rsidR="00AC4A9E" w:rsidRPr="00846952" w:rsidRDefault="00AC4A9E" w:rsidP="00C64BD7">
            <w:pPr>
              <w:jc w:val="center"/>
              <w:rPr>
                <w:rFonts w:ascii="Helvetica" w:hAnsi="Helvetica" w:cs="Arial"/>
                <w:sz w:val="18"/>
                <w:szCs w:val="18"/>
              </w:rPr>
            </w:pPr>
          </w:p>
        </w:tc>
        <w:tc>
          <w:tcPr>
            <w:tcW w:w="1157" w:type="dxa"/>
            <w:tcBorders>
              <w:top w:val="nil"/>
              <w:left w:val="nil"/>
              <w:bottom w:val="single" w:sz="4" w:space="0" w:color="auto"/>
              <w:right w:val="single" w:sz="4" w:space="0" w:color="auto"/>
            </w:tcBorders>
            <w:shd w:val="clear" w:color="auto" w:fill="auto"/>
            <w:noWrap/>
            <w:vAlign w:val="center"/>
            <w:hideMark/>
          </w:tcPr>
          <w:p w14:paraId="549FC4B9"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Condena</w:t>
            </w:r>
          </w:p>
        </w:tc>
        <w:tc>
          <w:tcPr>
            <w:tcW w:w="1460" w:type="dxa"/>
            <w:tcBorders>
              <w:top w:val="nil"/>
              <w:left w:val="nil"/>
              <w:bottom w:val="single" w:sz="4" w:space="0" w:color="auto"/>
              <w:right w:val="single" w:sz="4" w:space="0" w:color="auto"/>
            </w:tcBorders>
            <w:shd w:val="clear" w:color="auto" w:fill="auto"/>
            <w:noWrap/>
            <w:vAlign w:val="center"/>
            <w:hideMark/>
          </w:tcPr>
          <w:p w14:paraId="104ACCD2" w14:textId="77777777" w:rsidR="00AC4A9E" w:rsidRPr="00846952" w:rsidRDefault="00AC4A9E" w:rsidP="00C64BD7">
            <w:pPr>
              <w:jc w:val="center"/>
              <w:rPr>
                <w:rFonts w:ascii="Helvetica" w:hAnsi="Helvetica" w:cs="Arial"/>
                <w:sz w:val="18"/>
                <w:szCs w:val="18"/>
              </w:rPr>
            </w:pPr>
            <w:r w:rsidRPr="00846952">
              <w:rPr>
                <w:rFonts w:ascii="Helvetica" w:hAnsi="Helvetica" w:cs="Arial"/>
                <w:sz w:val="18"/>
                <w:szCs w:val="18"/>
              </w:rPr>
              <w:t>15</w:t>
            </w:r>
          </w:p>
        </w:tc>
      </w:tr>
    </w:tbl>
    <w:p w14:paraId="3EA08AE1" w14:textId="77777777" w:rsidR="00AC4A9E" w:rsidRPr="00962293" w:rsidRDefault="00AC4A9E" w:rsidP="00AC4A9E">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26D9C758" w14:textId="77777777" w:rsidR="00AC4A9E" w:rsidRDefault="00AC4A9E" w:rsidP="008A2357">
      <w:pPr>
        <w:spacing w:before="240" w:line="360" w:lineRule="auto"/>
        <w:jc w:val="both"/>
        <w:rPr>
          <w:rFonts w:ascii="Helvetica" w:hAnsi="Helvetica"/>
          <w:sz w:val="22"/>
          <w:szCs w:val="22"/>
          <w:lang w:val="es-ES"/>
        </w:rPr>
      </w:pPr>
    </w:p>
    <w:p w14:paraId="23B64F48" w14:textId="5A087E03" w:rsidR="00650D33" w:rsidRDefault="00650D33">
      <w:pPr>
        <w:rPr>
          <w:rFonts w:ascii="Helvetica" w:hAnsi="Helvetica"/>
          <w:sz w:val="22"/>
          <w:szCs w:val="22"/>
          <w:lang w:val="es-ES"/>
        </w:rPr>
      </w:pPr>
      <w:r>
        <w:rPr>
          <w:rFonts w:ascii="Helvetica" w:hAnsi="Helvetica"/>
          <w:sz w:val="22"/>
          <w:szCs w:val="22"/>
          <w:lang w:val="es-ES"/>
        </w:rPr>
        <w:br w:type="page"/>
      </w:r>
    </w:p>
    <w:p w14:paraId="12D727FD" w14:textId="642BFEBC" w:rsidR="008A2357" w:rsidRDefault="00650D33" w:rsidP="00F203E7">
      <w:pPr>
        <w:pStyle w:val="Ttulo1"/>
      </w:pPr>
      <w:bookmarkStart w:id="34" w:name="_Toc52293203"/>
      <w:r>
        <w:lastRenderedPageBreak/>
        <w:t xml:space="preserve">Anexo 3. </w:t>
      </w:r>
      <w:r w:rsidR="00F203E7">
        <w:t>Sentencias con persona desaparecida y órdenes de búsqueda</w:t>
      </w:r>
      <w:bookmarkEnd w:id="34"/>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1276"/>
        <w:gridCol w:w="1417"/>
        <w:gridCol w:w="1843"/>
        <w:gridCol w:w="992"/>
        <w:gridCol w:w="1455"/>
      </w:tblGrid>
      <w:tr w:rsidR="00650D33" w:rsidRPr="00206943" w14:paraId="749096F2" w14:textId="77777777" w:rsidTr="00E9287A">
        <w:tc>
          <w:tcPr>
            <w:tcW w:w="8963" w:type="dxa"/>
            <w:gridSpan w:val="6"/>
            <w:shd w:val="clear" w:color="auto" w:fill="auto"/>
            <w:noWrap/>
            <w:vAlign w:val="center"/>
            <w:hideMark/>
          </w:tcPr>
          <w:p w14:paraId="1B0D9EC4" w14:textId="77777777" w:rsidR="00650D33" w:rsidRPr="00206943" w:rsidRDefault="00650D33" w:rsidP="00E9287A">
            <w:pPr>
              <w:jc w:val="center"/>
              <w:rPr>
                <w:rFonts w:ascii="Helvetica" w:hAnsi="Helvetica" w:cs="Calibri"/>
                <w:b/>
                <w:bCs/>
                <w:color w:val="000000"/>
                <w:sz w:val="20"/>
                <w:szCs w:val="20"/>
              </w:rPr>
            </w:pPr>
            <w:r w:rsidRPr="00206943">
              <w:rPr>
                <w:rFonts w:ascii="Helvetica" w:hAnsi="Helvetica" w:cs="Calibri"/>
                <w:b/>
                <w:bCs/>
                <w:color w:val="000000"/>
                <w:sz w:val="20"/>
                <w:szCs w:val="20"/>
              </w:rPr>
              <w:t>Sentencias con persona desaparecida y órdenes de búsqueda</w:t>
            </w:r>
          </w:p>
        </w:tc>
      </w:tr>
      <w:tr w:rsidR="00650D33" w:rsidRPr="00206943" w14:paraId="402F9093" w14:textId="77777777" w:rsidTr="00E9287A">
        <w:tc>
          <w:tcPr>
            <w:tcW w:w="1980" w:type="dxa"/>
            <w:shd w:val="clear" w:color="auto" w:fill="auto"/>
            <w:vAlign w:val="center"/>
            <w:hideMark/>
          </w:tcPr>
          <w:p w14:paraId="69FBC8A2" w14:textId="77777777" w:rsidR="00650D33" w:rsidRPr="00206943" w:rsidRDefault="00650D33" w:rsidP="00E9287A">
            <w:pPr>
              <w:jc w:val="center"/>
              <w:rPr>
                <w:rFonts w:ascii="Helvetica" w:hAnsi="Helvetica" w:cs="Arial"/>
                <w:b/>
                <w:bCs/>
                <w:sz w:val="18"/>
                <w:szCs w:val="18"/>
              </w:rPr>
            </w:pPr>
            <w:r w:rsidRPr="00206943">
              <w:rPr>
                <w:rFonts w:ascii="Helvetica" w:hAnsi="Helvetica" w:cs="Arial"/>
                <w:b/>
                <w:bCs/>
                <w:sz w:val="18"/>
                <w:szCs w:val="18"/>
              </w:rPr>
              <w:t>Causa penal</w:t>
            </w:r>
          </w:p>
        </w:tc>
        <w:tc>
          <w:tcPr>
            <w:tcW w:w="1276" w:type="dxa"/>
            <w:shd w:val="clear" w:color="000000" w:fill="FFFFFF"/>
            <w:vAlign w:val="center"/>
            <w:hideMark/>
          </w:tcPr>
          <w:p w14:paraId="7B4CDF77" w14:textId="77777777" w:rsidR="00650D33" w:rsidRPr="00206943" w:rsidRDefault="00650D33" w:rsidP="00E9287A">
            <w:pPr>
              <w:jc w:val="center"/>
              <w:rPr>
                <w:rFonts w:ascii="Helvetica" w:hAnsi="Helvetica" w:cs="Arial"/>
                <w:b/>
                <w:bCs/>
                <w:sz w:val="18"/>
                <w:szCs w:val="18"/>
              </w:rPr>
            </w:pPr>
            <w:r w:rsidRPr="00206943">
              <w:rPr>
                <w:rFonts w:ascii="Helvetica" w:hAnsi="Helvetica" w:cs="Arial"/>
                <w:b/>
                <w:bCs/>
                <w:sz w:val="18"/>
                <w:szCs w:val="18"/>
              </w:rPr>
              <w:t>Fuero</w:t>
            </w:r>
          </w:p>
        </w:tc>
        <w:tc>
          <w:tcPr>
            <w:tcW w:w="1417" w:type="dxa"/>
            <w:shd w:val="clear" w:color="auto" w:fill="auto"/>
            <w:vAlign w:val="center"/>
            <w:hideMark/>
          </w:tcPr>
          <w:p w14:paraId="4F25D8A8" w14:textId="77777777" w:rsidR="00650D33" w:rsidRPr="00206943" w:rsidRDefault="00650D33" w:rsidP="00E9287A">
            <w:pPr>
              <w:jc w:val="center"/>
              <w:rPr>
                <w:rFonts w:ascii="Helvetica" w:hAnsi="Helvetica" w:cs="Arial"/>
                <w:b/>
                <w:bCs/>
                <w:sz w:val="18"/>
                <w:szCs w:val="18"/>
              </w:rPr>
            </w:pPr>
            <w:r w:rsidRPr="00206943">
              <w:rPr>
                <w:rFonts w:ascii="Helvetica" w:hAnsi="Helvetica" w:cs="Arial"/>
                <w:b/>
                <w:bCs/>
                <w:sz w:val="18"/>
                <w:szCs w:val="18"/>
              </w:rPr>
              <w:t>Entidad de los hechos</w:t>
            </w:r>
          </w:p>
        </w:tc>
        <w:tc>
          <w:tcPr>
            <w:tcW w:w="1843" w:type="dxa"/>
            <w:shd w:val="clear" w:color="auto" w:fill="auto"/>
            <w:vAlign w:val="center"/>
            <w:hideMark/>
          </w:tcPr>
          <w:p w14:paraId="79F58BC1" w14:textId="77777777" w:rsidR="00650D33" w:rsidRPr="00206943" w:rsidRDefault="00650D33" w:rsidP="00E9287A">
            <w:pPr>
              <w:jc w:val="center"/>
              <w:rPr>
                <w:rFonts w:ascii="Helvetica" w:hAnsi="Helvetica" w:cs="Arial"/>
                <w:b/>
                <w:bCs/>
                <w:sz w:val="18"/>
                <w:szCs w:val="18"/>
              </w:rPr>
            </w:pPr>
            <w:r w:rsidRPr="00206943">
              <w:rPr>
                <w:rFonts w:ascii="Helvetica" w:hAnsi="Helvetica" w:cs="Arial"/>
                <w:b/>
                <w:bCs/>
                <w:sz w:val="18"/>
                <w:szCs w:val="18"/>
              </w:rPr>
              <w:t>Órgano judicial</w:t>
            </w:r>
          </w:p>
        </w:tc>
        <w:tc>
          <w:tcPr>
            <w:tcW w:w="992" w:type="dxa"/>
            <w:shd w:val="clear" w:color="auto" w:fill="auto"/>
            <w:vAlign w:val="center"/>
            <w:hideMark/>
          </w:tcPr>
          <w:p w14:paraId="5BFF6C70" w14:textId="77777777" w:rsidR="00650D33" w:rsidRPr="00206943" w:rsidRDefault="00650D33" w:rsidP="00E9287A">
            <w:pPr>
              <w:jc w:val="center"/>
              <w:rPr>
                <w:rFonts w:ascii="Helvetica" w:hAnsi="Helvetica" w:cs="Arial"/>
                <w:b/>
                <w:bCs/>
                <w:sz w:val="18"/>
                <w:szCs w:val="18"/>
              </w:rPr>
            </w:pPr>
            <w:r w:rsidRPr="00206943">
              <w:rPr>
                <w:rFonts w:ascii="Helvetica" w:hAnsi="Helvetica" w:cs="Arial"/>
                <w:b/>
                <w:bCs/>
                <w:sz w:val="18"/>
                <w:szCs w:val="18"/>
              </w:rPr>
              <w:t>Fecha sentencia</w:t>
            </w:r>
          </w:p>
        </w:tc>
        <w:tc>
          <w:tcPr>
            <w:tcW w:w="1455" w:type="dxa"/>
            <w:shd w:val="clear" w:color="auto" w:fill="auto"/>
            <w:vAlign w:val="center"/>
            <w:hideMark/>
          </w:tcPr>
          <w:p w14:paraId="70EFF24E" w14:textId="77777777" w:rsidR="00650D33" w:rsidRPr="00206943" w:rsidRDefault="00650D33" w:rsidP="00E9287A">
            <w:pPr>
              <w:jc w:val="center"/>
              <w:rPr>
                <w:rFonts w:ascii="Helvetica" w:hAnsi="Helvetica" w:cs="Arial"/>
                <w:b/>
                <w:bCs/>
                <w:sz w:val="18"/>
                <w:szCs w:val="18"/>
              </w:rPr>
            </w:pPr>
            <w:r>
              <w:rPr>
                <w:rFonts w:ascii="Helvetica" w:hAnsi="Helvetica" w:cs="Arial"/>
                <w:b/>
                <w:bCs/>
                <w:sz w:val="18"/>
                <w:szCs w:val="18"/>
              </w:rPr>
              <w:t xml:space="preserve">Orden de </w:t>
            </w:r>
            <w:r w:rsidRPr="00206943">
              <w:rPr>
                <w:rFonts w:ascii="Helvetica" w:hAnsi="Helvetica" w:cs="Arial"/>
                <w:b/>
                <w:bCs/>
                <w:sz w:val="18"/>
                <w:szCs w:val="18"/>
              </w:rPr>
              <w:t>Búsqueda</w:t>
            </w:r>
          </w:p>
        </w:tc>
      </w:tr>
      <w:tr w:rsidR="00650D33" w:rsidRPr="00206943" w14:paraId="31CEC900" w14:textId="77777777" w:rsidTr="00E9287A">
        <w:tc>
          <w:tcPr>
            <w:tcW w:w="1980" w:type="dxa"/>
            <w:shd w:val="clear" w:color="auto" w:fill="auto"/>
            <w:noWrap/>
            <w:vAlign w:val="center"/>
            <w:hideMark/>
          </w:tcPr>
          <w:p w14:paraId="7BCA2327"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179/2006</w:t>
            </w:r>
          </w:p>
        </w:tc>
        <w:tc>
          <w:tcPr>
            <w:tcW w:w="1276" w:type="dxa"/>
            <w:shd w:val="clear" w:color="auto" w:fill="auto"/>
            <w:noWrap/>
            <w:vAlign w:val="center"/>
            <w:hideMark/>
          </w:tcPr>
          <w:p w14:paraId="14B38183"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Federal</w:t>
            </w:r>
          </w:p>
        </w:tc>
        <w:tc>
          <w:tcPr>
            <w:tcW w:w="1417" w:type="dxa"/>
            <w:shd w:val="clear" w:color="auto" w:fill="auto"/>
            <w:noWrap/>
            <w:vAlign w:val="center"/>
            <w:hideMark/>
          </w:tcPr>
          <w:p w14:paraId="457C3942"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Sinaloa</w:t>
            </w:r>
          </w:p>
        </w:tc>
        <w:tc>
          <w:tcPr>
            <w:tcW w:w="1843" w:type="dxa"/>
            <w:shd w:val="clear" w:color="auto" w:fill="auto"/>
            <w:vAlign w:val="center"/>
            <w:hideMark/>
          </w:tcPr>
          <w:p w14:paraId="49AD7B6F"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Juzgado Noveno de Distrito del Estado de Sinaloa</w:t>
            </w:r>
          </w:p>
        </w:tc>
        <w:tc>
          <w:tcPr>
            <w:tcW w:w="992" w:type="dxa"/>
            <w:shd w:val="clear" w:color="auto" w:fill="auto"/>
            <w:noWrap/>
            <w:vAlign w:val="center"/>
            <w:hideMark/>
          </w:tcPr>
          <w:p w14:paraId="1F651EBA"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30/09/09</w:t>
            </w:r>
          </w:p>
        </w:tc>
        <w:tc>
          <w:tcPr>
            <w:tcW w:w="1455" w:type="dxa"/>
            <w:shd w:val="clear" w:color="auto" w:fill="auto"/>
            <w:noWrap/>
            <w:vAlign w:val="center"/>
            <w:hideMark/>
          </w:tcPr>
          <w:p w14:paraId="05589167"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67ECC143" w14:textId="77777777" w:rsidTr="00E9287A">
        <w:tc>
          <w:tcPr>
            <w:tcW w:w="1980" w:type="dxa"/>
            <w:shd w:val="clear" w:color="auto" w:fill="auto"/>
            <w:noWrap/>
            <w:vAlign w:val="center"/>
            <w:hideMark/>
          </w:tcPr>
          <w:p w14:paraId="6501E1C2"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20/2005-I</w:t>
            </w:r>
          </w:p>
        </w:tc>
        <w:tc>
          <w:tcPr>
            <w:tcW w:w="1276" w:type="dxa"/>
            <w:shd w:val="clear" w:color="auto" w:fill="auto"/>
            <w:noWrap/>
            <w:vAlign w:val="center"/>
            <w:hideMark/>
          </w:tcPr>
          <w:p w14:paraId="143ECABD"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Federal</w:t>
            </w:r>
          </w:p>
        </w:tc>
        <w:tc>
          <w:tcPr>
            <w:tcW w:w="1417" w:type="dxa"/>
            <w:shd w:val="clear" w:color="auto" w:fill="auto"/>
            <w:noWrap/>
            <w:vAlign w:val="center"/>
            <w:hideMark/>
          </w:tcPr>
          <w:p w14:paraId="47F4606B"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CDMX</w:t>
            </w:r>
          </w:p>
        </w:tc>
        <w:tc>
          <w:tcPr>
            <w:tcW w:w="1843" w:type="dxa"/>
            <w:shd w:val="clear" w:color="auto" w:fill="auto"/>
            <w:vAlign w:val="center"/>
            <w:hideMark/>
          </w:tcPr>
          <w:p w14:paraId="0523C5B6"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Juzgado Primero de Distrito en Procesos Penales</w:t>
            </w:r>
          </w:p>
        </w:tc>
        <w:tc>
          <w:tcPr>
            <w:tcW w:w="992" w:type="dxa"/>
            <w:shd w:val="clear" w:color="auto" w:fill="auto"/>
            <w:noWrap/>
            <w:vAlign w:val="center"/>
            <w:hideMark/>
          </w:tcPr>
          <w:p w14:paraId="48648C9E"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30/06/10</w:t>
            </w:r>
          </w:p>
        </w:tc>
        <w:tc>
          <w:tcPr>
            <w:tcW w:w="1455" w:type="dxa"/>
            <w:shd w:val="clear" w:color="auto" w:fill="auto"/>
            <w:noWrap/>
            <w:vAlign w:val="center"/>
            <w:hideMark/>
          </w:tcPr>
          <w:p w14:paraId="54735766" w14:textId="77777777" w:rsidR="00650D33" w:rsidRPr="00206943" w:rsidRDefault="00650D33" w:rsidP="00E9287A">
            <w:pPr>
              <w:jc w:val="center"/>
              <w:rPr>
                <w:rFonts w:ascii="Helvetica" w:hAnsi="Helvetica" w:cs="Arial"/>
                <w:sz w:val="18"/>
                <w:szCs w:val="18"/>
              </w:rPr>
            </w:pPr>
            <w:r>
              <w:rPr>
                <w:rFonts w:ascii="Helvetica" w:hAnsi="Helvetica" w:cs="Arial"/>
                <w:sz w:val="18"/>
                <w:szCs w:val="18"/>
              </w:rPr>
              <w:t>No</w:t>
            </w:r>
          </w:p>
        </w:tc>
      </w:tr>
      <w:tr w:rsidR="00650D33" w:rsidRPr="00206943" w14:paraId="38D2C0C1" w14:textId="77777777" w:rsidTr="00E9287A">
        <w:tc>
          <w:tcPr>
            <w:tcW w:w="1980" w:type="dxa"/>
            <w:shd w:val="clear" w:color="auto" w:fill="auto"/>
            <w:noWrap/>
            <w:vAlign w:val="center"/>
            <w:hideMark/>
          </w:tcPr>
          <w:p w14:paraId="00BF260C"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104/2013-V</w:t>
            </w:r>
          </w:p>
        </w:tc>
        <w:tc>
          <w:tcPr>
            <w:tcW w:w="1276" w:type="dxa"/>
            <w:shd w:val="clear" w:color="auto" w:fill="auto"/>
            <w:noWrap/>
            <w:vAlign w:val="center"/>
            <w:hideMark/>
          </w:tcPr>
          <w:p w14:paraId="402353C1"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Federal</w:t>
            </w:r>
          </w:p>
        </w:tc>
        <w:tc>
          <w:tcPr>
            <w:tcW w:w="1417" w:type="dxa"/>
            <w:shd w:val="clear" w:color="auto" w:fill="auto"/>
            <w:noWrap/>
            <w:vAlign w:val="center"/>
            <w:hideMark/>
          </w:tcPr>
          <w:p w14:paraId="2650F233"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Nuevo León</w:t>
            </w:r>
          </w:p>
        </w:tc>
        <w:tc>
          <w:tcPr>
            <w:tcW w:w="1843" w:type="dxa"/>
            <w:shd w:val="clear" w:color="auto" w:fill="auto"/>
            <w:vAlign w:val="center"/>
            <w:hideMark/>
          </w:tcPr>
          <w:p w14:paraId="0A6860BA"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Juzgado Primero de Distrito en el Estado de Nuevo León</w:t>
            </w:r>
          </w:p>
        </w:tc>
        <w:tc>
          <w:tcPr>
            <w:tcW w:w="992" w:type="dxa"/>
            <w:shd w:val="clear" w:color="auto" w:fill="auto"/>
            <w:noWrap/>
            <w:vAlign w:val="center"/>
            <w:hideMark/>
          </w:tcPr>
          <w:p w14:paraId="61537D03"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18/08/15</w:t>
            </w:r>
          </w:p>
        </w:tc>
        <w:tc>
          <w:tcPr>
            <w:tcW w:w="1455" w:type="dxa"/>
            <w:shd w:val="clear" w:color="auto" w:fill="auto"/>
            <w:noWrap/>
            <w:vAlign w:val="center"/>
            <w:hideMark/>
          </w:tcPr>
          <w:p w14:paraId="5AEFB3D4"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47E1DCC4" w14:textId="77777777" w:rsidTr="00E9287A">
        <w:tc>
          <w:tcPr>
            <w:tcW w:w="1980" w:type="dxa"/>
            <w:shd w:val="clear" w:color="auto" w:fill="auto"/>
            <w:noWrap/>
            <w:vAlign w:val="center"/>
            <w:hideMark/>
          </w:tcPr>
          <w:p w14:paraId="083985CE"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255/13 y acumulada  263/2013-III</w:t>
            </w:r>
          </w:p>
        </w:tc>
        <w:tc>
          <w:tcPr>
            <w:tcW w:w="1276" w:type="dxa"/>
            <w:shd w:val="clear" w:color="auto" w:fill="auto"/>
            <w:noWrap/>
            <w:vAlign w:val="center"/>
            <w:hideMark/>
          </w:tcPr>
          <w:p w14:paraId="21CEF393"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Federal</w:t>
            </w:r>
          </w:p>
        </w:tc>
        <w:tc>
          <w:tcPr>
            <w:tcW w:w="1417" w:type="dxa"/>
            <w:shd w:val="clear" w:color="auto" w:fill="auto"/>
            <w:noWrap/>
            <w:vAlign w:val="center"/>
            <w:hideMark/>
          </w:tcPr>
          <w:p w14:paraId="1B6309AC"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Jalisco</w:t>
            </w:r>
          </w:p>
        </w:tc>
        <w:tc>
          <w:tcPr>
            <w:tcW w:w="1843" w:type="dxa"/>
            <w:shd w:val="clear" w:color="auto" w:fill="auto"/>
            <w:vAlign w:val="center"/>
            <w:hideMark/>
          </w:tcPr>
          <w:p w14:paraId="4176D8F6"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 xml:space="preserve">Juzgado Sexto de Distrito de Procesos Penales Federales </w:t>
            </w:r>
          </w:p>
        </w:tc>
        <w:tc>
          <w:tcPr>
            <w:tcW w:w="992" w:type="dxa"/>
            <w:shd w:val="clear" w:color="auto" w:fill="auto"/>
            <w:noWrap/>
            <w:vAlign w:val="center"/>
            <w:hideMark/>
          </w:tcPr>
          <w:p w14:paraId="076E282B"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26/04/16</w:t>
            </w:r>
          </w:p>
        </w:tc>
        <w:tc>
          <w:tcPr>
            <w:tcW w:w="1455" w:type="dxa"/>
            <w:shd w:val="clear" w:color="auto" w:fill="auto"/>
            <w:noWrap/>
            <w:vAlign w:val="center"/>
            <w:hideMark/>
          </w:tcPr>
          <w:p w14:paraId="2807A216"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4C4A84AF" w14:textId="77777777" w:rsidTr="00E9287A">
        <w:tc>
          <w:tcPr>
            <w:tcW w:w="1980" w:type="dxa"/>
            <w:shd w:val="clear" w:color="auto" w:fill="auto"/>
            <w:noWrap/>
            <w:vAlign w:val="center"/>
            <w:hideMark/>
          </w:tcPr>
          <w:p w14:paraId="3EDF1C93"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493/2012</w:t>
            </w:r>
          </w:p>
        </w:tc>
        <w:tc>
          <w:tcPr>
            <w:tcW w:w="1276" w:type="dxa"/>
            <w:shd w:val="clear" w:color="auto" w:fill="auto"/>
            <w:noWrap/>
            <w:vAlign w:val="center"/>
            <w:hideMark/>
          </w:tcPr>
          <w:p w14:paraId="10581749"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Local</w:t>
            </w:r>
          </w:p>
        </w:tc>
        <w:tc>
          <w:tcPr>
            <w:tcW w:w="1417" w:type="dxa"/>
            <w:shd w:val="clear" w:color="auto" w:fill="auto"/>
            <w:noWrap/>
            <w:vAlign w:val="center"/>
            <w:hideMark/>
          </w:tcPr>
          <w:p w14:paraId="1E8203DE"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Chihuahua</w:t>
            </w:r>
          </w:p>
        </w:tc>
        <w:tc>
          <w:tcPr>
            <w:tcW w:w="1843" w:type="dxa"/>
            <w:shd w:val="clear" w:color="auto" w:fill="auto"/>
            <w:vAlign w:val="center"/>
            <w:hideMark/>
          </w:tcPr>
          <w:p w14:paraId="7CDB25E6"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Tribunal de Juicio Oral en lo Penal con adscripción en el Distrito Judicial Morelos</w:t>
            </w:r>
          </w:p>
        </w:tc>
        <w:tc>
          <w:tcPr>
            <w:tcW w:w="992" w:type="dxa"/>
            <w:shd w:val="clear" w:color="auto" w:fill="auto"/>
            <w:noWrap/>
            <w:vAlign w:val="center"/>
            <w:hideMark/>
          </w:tcPr>
          <w:p w14:paraId="7E49E8FA"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13/07/16</w:t>
            </w:r>
          </w:p>
        </w:tc>
        <w:tc>
          <w:tcPr>
            <w:tcW w:w="1455" w:type="dxa"/>
            <w:shd w:val="clear" w:color="auto" w:fill="auto"/>
            <w:noWrap/>
            <w:vAlign w:val="center"/>
            <w:hideMark/>
          </w:tcPr>
          <w:p w14:paraId="747BCBE8"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60AFC980" w14:textId="77777777" w:rsidTr="00E9287A">
        <w:tc>
          <w:tcPr>
            <w:tcW w:w="1980" w:type="dxa"/>
            <w:shd w:val="clear" w:color="auto" w:fill="auto"/>
            <w:noWrap/>
            <w:vAlign w:val="center"/>
            <w:hideMark/>
          </w:tcPr>
          <w:p w14:paraId="61D0FBB9"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19/2013</w:t>
            </w:r>
          </w:p>
        </w:tc>
        <w:tc>
          <w:tcPr>
            <w:tcW w:w="1276" w:type="dxa"/>
            <w:shd w:val="clear" w:color="auto" w:fill="auto"/>
            <w:noWrap/>
            <w:vAlign w:val="center"/>
            <w:hideMark/>
          </w:tcPr>
          <w:p w14:paraId="2955D35B"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Federal</w:t>
            </w:r>
          </w:p>
        </w:tc>
        <w:tc>
          <w:tcPr>
            <w:tcW w:w="1417" w:type="dxa"/>
            <w:shd w:val="clear" w:color="auto" w:fill="auto"/>
            <w:noWrap/>
            <w:vAlign w:val="center"/>
            <w:hideMark/>
          </w:tcPr>
          <w:p w14:paraId="5C9A1A28"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Veracruz</w:t>
            </w:r>
          </w:p>
        </w:tc>
        <w:tc>
          <w:tcPr>
            <w:tcW w:w="1843" w:type="dxa"/>
            <w:shd w:val="clear" w:color="auto" w:fill="auto"/>
            <w:vAlign w:val="center"/>
            <w:hideMark/>
          </w:tcPr>
          <w:p w14:paraId="1EEA510B"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Juzgado Decimocuarto de Distrito en el Estado de Veracruz</w:t>
            </w:r>
          </w:p>
        </w:tc>
        <w:tc>
          <w:tcPr>
            <w:tcW w:w="992" w:type="dxa"/>
            <w:shd w:val="clear" w:color="auto" w:fill="auto"/>
            <w:noWrap/>
            <w:vAlign w:val="center"/>
            <w:hideMark/>
          </w:tcPr>
          <w:p w14:paraId="1E33C4AD"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28/04/17</w:t>
            </w:r>
          </w:p>
        </w:tc>
        <w:tc>
          <w:tcPr>
            <w:tcW w:w="1455" w:type="dxa"/>
            <w:shd w:val="clear" w:color="auto" w:fill="auto"/>
            <w:noWrap/>
            <w:vAlign w:val="center"/>
            <w:hideMark/>
          </w:tcPr>
          <w:p w14:paraId="430CE4BC"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2195EA5A" w14:textId="77777777" w:rsidTr="00E9287A">
        <w:tc>
          <w:tcPr>
            <w:tcW w:w="1980" w:type="dxa"/>
            <w:shd w:val="clear" w:color="auto" w:fill="auto"/>
            <w:vAlign w:val="center"/>
            <w:hideMark/>
          </w:tcPr>
          <w:p w14:paraId="52D21F19"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301/2016C</w:t>
            </w:r>
          </w:p>
        </w:tc>
        <w:tc>
          <w:tcPr>
            <w:tcW w:w="1276" w:type="dxa"/>
            <w:shd w:val="clear" w:color="auto" w:fill="auto"/>
            <w:vAlign w:val="center"/>
            <w:hideMark/>
          </w:tcPr>
          <w:p w14:paraId="61FFD5A0"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Local</w:t>
            </w:r>
          </w:p>
        </w:tc>
        <w:tc>
          <w:tcPr>
            <w:tcW w:w="1417" w:type="dxa"/>
            <w:shd w:val="clear" w:color="auto" w:fill="auto"/>
            <w:vAlign w:val="center"/>
            <w:hideMark/>
          </w:tcPr>
          <w:p w14:paraId="2EB34945"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Jalisco</w:t>
            </w:r>
          </w:p>
        </w:tc>
        <w:tc>
          <w:tcPr>
            <w:tcW w:w="1843" w:type="dxa"/>
            <w:shd w:val="clear" w:color="auto" w:fill="auto"/>
            <w:vAlign w:val="center"/>
            <w:hideMark/>
          </w:tcPr>
          <w:p w14:paraId="2F0EB65B"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Décima Sala del Supremo Tribunal de Justicia en el Estado de Jalisco</w:t>
            </w:r>
          </w:p>
        </w:tc>
        <w:tc>
          <w:tcPr>
            <w:tcW w:w="992" w:type="dxa"/>
            <w:shd w:val="clear" w:color="auto" w:fill="auto"/>
            <w:vAlign w:val="center"/>
            <w:hideMark/>
          </w:tcPr>
          <w:p w14:paraId="6276962D" w14:textId="77777777" w:rsidR="00650D33" w:rsidRPr="00206943" w:rsidRDefault="00650D33" w:rsidP="00E9287A">
            <w:pPr>
              <w:jc w:val="right"/>
              <w:rPr>
                <w:rFonts w:ascii="Helvetica" w:hAnsi="Helvetica" w:cs="Arial"/>
                <w:color w:val="000000"/>
                <w:sz w:val="18"/>
                <w:szCs w:val="18"/>
              </w:rPr>
            </w:pPr>
            <w:r w:rsidRPr="00206943">
              <w:rPr>
                <w:rFonts w:ascii="Helvetica" w:hAnsi="Helvetica" w:cs="Arial"/>
                <w:color w:val="000000"/>
                <w:sz w:val="18"/>
                <w:szCs w:val="18"/>
              </w:rPr>
              <w:t>07/11/18</w:t>
            </w:r>
          </w:p>
        </w:tc>
        <w:tc>
          <w:tcPr>
            <w:tcW w:w="1455" w:type="dxa"/>
            <w:shd w:val="clear" w:color="auto" w:fill="auto"/>
            <w:noWrap/>
            <w:vAlign w:val="center"/>
            <w:hideMark/>
          </w:tcPr>
          <w:p w14:paraId="7A6C235F"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5EC1058A" w14:textId="77777777" w:rsidTr="00E9287A">
        <w:tc>
          <w:tcPr>
            <w:tcW w:w="1980" w:type="dxa"/>
            <w:shd w:val="clear" w:color="auto" w:fill="auto"/>
            <w:noWrap/>
            <w:vAlign w:val="center"/>
            <w:hideMark/>
          </w:tcPr>
          <w:p w14:paraId="0F4C3579"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ND</w:t>
            </w:r>
          </w:p>
        </w:tc>
        <w:tc>
          <w:tcPr>
            <w:tcW w:w="1276" w:type="dxa"/>
            <w:shd w:val="clear" w:color="auto" w:fill="auto"/>
            <w:noWrap/>
            <w:vAlign w:val="center"/>
            <w:hideMark/>
          </w:tcPr>
          <w:p w14:paraId="79AC0DF6"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Local</w:t>
            </w:r>
          </w:p>
        </w:tc>
        <w:tc>
          <w:tcPr>
            <w:tcW w:w="1417" w:type="dxa"/>
            <w:shd w:val="clear" w:color="auto" w:fill="auto"/>
            <w:noWrap/>
            <w:vAlign w:val="center"/>
            <w:hideMark/>
          </w:tcPr>
          <w:p w14:paraId="58A0A09C"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Nuevo León</w:t>
            </w:r>
          </w:p>
        </w:tc>
        <w:tc>
          <w:tcPr>
            <w:tcW w:w="1843" w:type="dxa"/>
            <w:shd w:val="clear" w:color="auto" w:fill="auto"/>
            <w:vAlign w:val="center"/>
            <w:hideMark/>
          </w:tcPr>
          <w:p w14:paraId="253E5F75"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Juzgado de Juicio Oral Penal para el Estado de Nuevo León</w:t>
            </w:r>
          </w:p>
        </w:tc>
        <w:tc>
          <w:tcPr>
            <w:tcW w:w="992" w:type="dxa"/>
            <w:shd w:val="clear" w:color="auto" w:fill="auto"/>
            <w:noWrap/>
            <w:vAlign w:val="center"/>
            <w:hideMark/>
          </w:tcPr>
          <w:p w14:paraId="64E0DCB9"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26/03/19</w:t>
            </w:r>
          </w:p>
        </w:tc>
        <w:tc>
          <w:tcPr>
            <w:tcW w:w="1455" w:type="dxa"/>
            <w:shd w:val="clear" w:color="auto" w:fill="auto"/>
            <w:noWrap/>
            <w:vAlign w:val="center"/>
            <w:hideMark/>
          </w:tcPr>
          <w:p w14:paraId="2180A184"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r w:rsidR="00650D33" w:rsidRPr="00206943" w14:paraId="5125B5F9" w14:textId="77777777" w:rsidTr="00E9287A">
        <w:tc>
          <w:tcPr>
            <w:tcW w:w="1980" w:type="dxa"/>
            <w:shd w:val="clear" w:color="auto" w:fill="D9D9D9" w:themeFill="background1" w:themeFillShade="D9"/>
            <w:noWrap/>
            <w:vAlign w:val="center"/>
            <w:hideMark/>
          </w:tcPr>
          <w:p w14:paraId="2DFE6F01"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194/2017</w:t>
            </w:r>
          </w:p>
        </w:tc>
        <w:tc>
          <w:tcPr>
            <w:tcW w:w="1276" w:type="dxa"/>
            <w:shd w:val="clear" w:color="auto" w:fill="D9D9D9" w:themeFill="background1" w:themeFillShade="D9"/>
            <w:noWrap/>
            <w:vAlign w:val="center"/>
            <w:hideMark/>
          </w:tcPr>
          <w:p w14:paraId="14F5341C"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Local</w:t>
            </w:r>
          </w:p>
        </w:tc>
        <w:tc>
          <w:tcPr>
            <w:tcW w:w="1417" w:type="dxa"/>
            <w:shd w:val="clear" w:color="auto" w:fill="D9D9D9" w:themeFill="background1" w:themeFillShade="D9"/>
            <w:noWrap/>
            <w:vAlign w:val="center"/>
            <w:hideMark/>
          </w:tcPr>
          <w:p w14:paraId="1DDCD93C"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Chihuahua</w:t>
            </w:r>
          </w:p>
        </w:tc>
        <w:tc>
          <w:tcPr>
            <w:tcW w:w="1843" w:type="dxa"/>
            <w:shd w:val="clear" w:color="auto" w:fill="D9D9D9" w:themeFill="background1" w:themeFillShade="D9"/>
            <w:vAlign w:val="center"/>
            <w:hideMark/>
          </w:tcPr>
          <w:p w14:paraId="3C869C14" w14:textId="77777777" w:rsidR="00650D33" w:rsidRPr="00206943" w:rsidRDefault="00650D33" w:rsidP="00E9287A">
            <w:pPr>
              <w:rPr>
                <w:rFonts w:ascii="Helvetica" w:hAnsi="Helvetica" w:cs="Arial"/>
                <w:color w:val="000000"/>
                <w:sz w:val="18"/>
                <w:szCs w:val="18"/>
              </w:rPr>
            </w:pPr>
            <w:r w:rsidRPr="00206943">
              <w:rPr>
                <w:rFonts w:ascii="Helvetica" w:hAnsi="Helvetica" w:cs="Arial"/>
                <w:color w:val="000000"/>
                <w:sz w:val="18"/>
                <w:szCs w:val="18"/>
              </w:rPr>
              <w:t>Tribunal de Enjuiciamiento de los Distritos Judiciales Benito Juárez, Guerrero, Rayón y Arteaga</w:t>
            </w:r>
          </w:p>
        </w:tc>
        <w:tc>
          <w:tcPr>
            <w:tcW w:w="992" w:type="dxa"/>
            <w:shd w:val="clear" w:color="auto" w:fill="D9D9D9" w:themeFill="background1" w:themeFillShade="D9"/>
            <w:noWrap/>
            <w:vAlign w:val="center"/>
            <w:hideMark/>
          </w:tcPr>
          <w:p w14:paraId="131E7779" w14:textId="77777777" w:rsidR="00650D33" w:rsidRPr="00206943" w:rsidRDefault="00650D33" w:rsidP="00E9287A">
            <w:pPr>
              <w:jc w:val="right"/>
              <w:rPr>
                <w:rFonts w:ascii="Helvetica" w:hAnsi="Helvetica" w:cs="Arial"/>
                <w:color w:val="000000"/>
                <w:sz w:val="18"/>
                <w:szCs w:val="18"/>
              </w:rPr>
            </w:pPr>
            <w:r w:rsidRPr="00206943">
              <w:rPr>
                <w:rFonts w:ascii="Helvetica" w:hAnsi="Helvetica" w:cs="Arial"/>
                <w:color w:val="000000"/>
                <w:sz w:val="18"/>
                <w:szCs w:val="18"/>
              </w:rPr>
              <w:t>15/4/2019</w:t>
            </w:r>
          </w:p>
        </w:tc>
        <w:tc>
          <w:tcPr>
            <w:tcW w:w="1455" w:type="dxa"/>
            <w:shd w:val="clear" w:color="auto" w:fill="D9D9D9" w:themeFill="background1" w:themeFillShade="D9"/>
            <w:noWrap/>
            <w:vAlign w:val="center"/>
            <w:hideMark/>
          </w:tcPr>
          <w:p w14:paraId="12DA0605" w14:textId="77777777" w:rsidR="00650D33" w:rsidRPr="00206943" w:rsidRDefault="00650D33" w:rsidP="00E9287A">
            <w:pPr>
              <w:jc w:val="center"/>
              <w:rPr>
                <w:rFonts w:ascii="Helvetica" w:hAnsi="Helvetica" w:cs="Arial"/>
                <w:color w:val="000000"/>
                <w:sz w:val="18"/>
                <w:szCs w:val="18"/>
              </w:rPr>
            </w:pPr>
            <w:r w:rsidRPr="00206943">
              <w:rPr>
                <w:rFonts w:ascii="Helvetica" w:hAnsi="Helvetica" w:cs="Arial"/>
                <w:color w:val="000000"/>
                <w:sz w:val="18"/>
                <w:szCs w:val="18"/>
              </w:rPr>
              <w:t>Sí</w:t>
            </w:r>
          </w:p>
        </w:tc>
      </w:tr>
      <w:tr w:rsidR="00650D33" w:rsidRPr="00206943" w14:paraId="34330AB9" w14:textId="77777777" w:rsidTr="00E9287A">
        <w:tc>
          <w:tcPr>
            <w:tcW w:w="1980" w:type="dxa"/>
            <w:shd w:val="clear" w:color="auto" w:fill="auto"/>
            <w:noWrap/>
            <w:vAlign w:val="center"/>
            <w:hideMark/>
          </w:tcPr>
          <w:p w14:paraId="2EC2E83A"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76/2018</w:t>
            </w:r>
          </w:p>
        </w:tc>
        <w:tc>
          <w:tcPr>
            <w:tcW w:w="1276" w:type="dxa"/>
            <w:shd w:val="clear" w:color="auto" w:fill="auto"/>
            <w:noWrap/>
            <w:vAlign w:val="center"/>
            <w:hideMark/>
          </w:tcPr>
          <w:p w14:paraId="0653B996"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Local</w:t>
            </w:r>
          </w:p>
        </w:tc>
        <w:tc>
          <w:tcPr>
            <w:tcW w:w="1417" w:type="dxa"/>
            <w:shd w:val="clear" w:color="auto" w:fill="auto"/>
            <w:noWrap/>
            <w:vAlign w:val="center"/>
            <w:hideMark/>
          </w:tcPr>
          <w:p w14:paraId="55037207"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Chihuahua</w:t>
            </w:r>
          </w:p>
        </w:tc>
        <w:tc>
          <w:tcPr>
            <w:tcW w:w="1843" w:type="dxa"/>
            <w:shd w:val="clear" w:color="auto" w:fill="auto"/>
            <w:vAlign w:val="center"/>
            <w:hideMark/>
          </w:tcPr>
          <w:p w14:paraId="003A5BC6" w14:textId="77777777" w:rsidR="00650D33" w:rsidRPr="00206943" w:rsidRDefault="00650D33" w:rsidP="00E9287A">
            <w:pPr>
              <w:rPr>
                <w:rFonts w:ascii="Helvetica" w:hAnsi="Helvetica" w:cs="Arial"/>
                <w:sz w:val="18"/>
                <w:szCs w:val="18"/>
              </w:rPr>
            </w:pPr>
            <w:r w:rsidRPr="00206943">
              <w:rPr>
                <w:rFonts w:ascii="Helvetica" w:hAnsi="Helvetica" w:cs="Arial"/>
                <w:sz w:val="18"/>
                <w:szCs w:val="18"/>
              </w:rPr>
              <w:t>Juez de Control del Distrito Judicial Guerrero, Estado de Chihuahua</w:t>
            </w:r>
          </w:p>
        </w:tc>
        <w:tc>
          <w:tcPr>
            <w:tcW w:w="992" w:type="dxa"/>
            <w:shd w:val="clear" w:color="auto" w:fill="auto"/>
            <w:noWrap/>
            <w:vAlign w:val="center"/>
            <w:hideMark/>
          </w:tcPr>
          <w:p w14:paraId="59DF7D9D" w14:textId="77777777" w:rsidR="00650D33" w:rsidRPr="00206943" w:rsidRDefault="00650D33" w:rsidP="00E9287A">
            <w:pPr>
              <w:jc w:val="right"/>
              <w:rPr>
                <w:rFonts w:ascii="Helvetica" w:hAnsi="Helvetica" w:cs="Arial"/>
                <w:sz w:val="18"/>
                <w:szCs w:val="18"/>
              </w:rPr>
            </w:pPr>
            <w:r w:rsidRPr="00206943">
              <w:rPr>
                <w:rFonts w:ascii="Helvetica" w:hAnsi="Helvetica" w:cs="Arial"/>
                <w:sz w:val="18"/>
                <w:szCs w:val="18"/>
              </w:rPr>
              <w:t>15/11/19</w:t>
            </w:r>
          </w:p>
        </w:tc>
        <w:tc>
          <w:tcPr>
            <w:tcW w:w="1455" w:type="dxa"/>
            <w:shd w:val="clear" w:color="auto" w:fill="auto"/>
            <w:noWrap/>
            <w:vAlign w:val="center"/>
            <w:hideMark/>
          </w:tcPr>
          <w:p w14:paraId="6DE2E333" w14:textId="77777777" w:rsidR="00650D33" w:rsidRPr="00206943" w:rsidRDefault="00650D33" w:rsidP="00E9287A">
            <w:pPr>
              <w:jc w:val="center"/>
              <w:rPr>
                <w:rFonts w:ascii="Helvetica" w:hAnsi="Helvetica" w:cs="Arial"/>
                <w:sz w:val="18"/>
                <w:szCs w:val="18"/>
              </w:rPr>
            </w:pPr>
            <w:r w:rsidRPr="00206943">
              <w:rPr>
                <w:rFonts w:ascii="Helvetica" w:hAnsi="Helvetica" w:cs="Arial"/>
                <w:sz w:val="18"/>
                <w:szCs w:val="18"/>
              </w:rPr>
              <w:t>No</w:t>
            </w:r>
          </w:p>
        </w:tc>
      </w:tr>
    </w:tbl>
    <w:p w14:paraId="252F23F7" w14:textId="77777777" w:rsidR="00650D33" w:rsidRPr="00962293" w:rsidRDefault="00650D33" w:rsidP="00650D33">
      <w:pPr>
        <w:spacing w:line="360" w:lineRule="auto"/>
        <w:jc w:val="both"/>
        <w:rPr>
          <w:rFonts w:ascii="Helvetica" w:hAnsi="Helvetica"/>
          <w:sz w:val="18"/>
          <w:szCs w:val="18"/>
          <w:lang w:val="es-ES"/>
        </w:rPr>
      </w:pPr>
      <w:r w:rsidRPr="00962293">
        <w:rPr>
          <w:rFonts w:ascii="Helvetica" w:hAnsi="Helvetica"/>
          <w:sz w:val="18"/>
          <w:szCs w:val="18"/>
          <w:lang w:val="es-ES"/>
        </w:rPr>
        <w:t xml:space="preserve">Fuente: elaboración propia con la información de las sentencias. </w:t>
      </w:r>
    </w:p>
    <w:p w14:paraId="72E01EE1" w14:textId="77777777" w:rsidR="00650D33" w:rsidRDefault="00650D33" w:rsidP="008A2357">
      <w:pPr>
        <w:spacing w:before="240" w:line="360" w:lineRule="auto"/>
        <w:jc w:val="both"/>
        <w:rPr>
          <w:rFonts w:ascii="Helvetica" w:hAnsi="Helvetica"/>
          <w:sz w:val="22"/>
          <w:szCs w:val="22"/>
          <w:lang w:val="es-ES"/>
        </w:rPr>
      </w:pPr>
    </w:p>
    <w:p w14:paraId="240C42EB" w14:textId="77777777" w:rsidR="004F0030" w:rsidRPr="00B17C50" w:rsidRDefault="004F0030" w:rsidP="00B17C50">
      <w:pPr>
        <w:spacing w:line="360" w:lineRule="auto"/>
        <w:jc w:val="both"/>
        <w:rPr>
          <w:rFonts w:ascii="Helvetica" w:hAnsi="Helvetica"/>
          <w:sz w:val="22"/>
          <w:szCs w:val="22"/>
        </w:rPr>
      </w:pPr>
      <w:r w:rsidRPr="00B17C50">
        <w:rPr>
          <w:rFonts w:ascii="Helvetica" w:hAnsi="Helvetica"/>
          <w:sz w:val="22"/>
          <w:szCs w:val="22"/>
        </w:rPr>
        <w:t xml:space="preserve"> </w:t>
      </w:r>
    </w:p>
    <w:sectPr w:rsidR="004F0030" w:rsidRPr="00B17C50" w:rsidSect="008F149B">
      <w:footerReference w:type="even" r:id="rId18"/>
      <w:footerReference w:type="default" r:id="rId19"/>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Karina Mariela Ansolabehere" w:date="2020-10-14T19:12:00Z" w:initials="KMA">
    <w:p w14:paraId="11B08E07" w14:textId="08EAC269" w:rsidR="00317D32" w:rsidRDefault="00317D32">
      <w:pPr>
        <w:pStyle w:val="Textocomentario"/>
      </w:pPr>
      <w:r>
        <w:rPr>
          <w:rStyle w:val="Refdecomentario"/>
        </w:rPr>
        <w:annotationRef/>
      </w:r>
      <w:r>
        <w:t>Incoporar el instrumento como anexo</w:t>
      </w:r>
    </w:p>
  </w:comment>
  <w:comment w:id="8" w:author="Karina Mariela Ansolabehere" w:date="2020-10-14T19:13:00Z" w:initials="KMA">
    <w:p w14:paraId="3130DC5C" w14:textId="426AC64A" w:rsidR="00317D32" w:rsidRDefault="00317D32">
      <w:pPr>
        <w:pStyle w:val="Textocomentario"/>
      </w:pPr>
      <w:r>
        <w:rPr>
          <w:rStyle w:val="Refdecomentario"/>
        </w:rPr>
        <w:annotationRef/>
      </w:r>
      <w:r>
        <w:t>Sugiero que se agregue una columna en la que se indique como se clasificó en cada caso.</w:t>
      </w:r>
    </w:p>
  </w:comment>
  <w:comment w:id="9" w:author="Karina Mariela Ansolabehere" w:date="2020-10-14T19:10:00Z" w:initials="KMA">
    <w:p w14:paraId="3B3ED5DA" w14:textId="690F7962" w:rsidR="00317D32" w:rsidRDefault="00317D32">
      <w:pPr>
        <w:pStyle w:val="Textocomentario"/>
      </w:pPr>
      <w:r>
        <w:rPr>
          <w:rStyle w:val="Refdecomentario"/>
        </w:rPr>
        <w:annotationRef/>
      </w:r>
      <w:r>
        <w:t>Insertar una columna en la que se indique como se adjundica la clasificación: Pe: las pruebas son…..</w:t>
      </w:r>
    </w:p>
  </w:comment>
  <w:comment w:id="26" w:author="Karina Mariela Ansolabehere" w:date="2020-10-14T19:07:00Z" w:initials="KMA">
    <w:p w14:paraId="1293C910" w14:textId="7ADC69EF" w:rsidR="00317D32" w:rsidRDefault="00317D32">
      <w:pPr>
        <w:pStyle w:val="Textocomentario"/>
      </w:pPr>
      <w:r>
        <w:rPr>
          <w:rStyle w:val="Refdecomentario"/>
        </w:rPr>
        <w:annotationRef/>
      </w:r>
      <w:r>
        <w:t>Poner evidencia: ejemplos de sentencias que se pueden encuadrar en lo que estás diciendo. Quizás se puede hacer un cuadro con las sentencias y el tipo de pruebas y la aproximación a los casos</w:t>
      </w:r>
    </w:p>
  </w:comment>
  <w:comment w:id="28" w:author="Karina Mariela Ansolabehere" w:date="2020-10-14T19:09:00Z" w:initials="KMA">
    <w:p w14:paraId="74D8E697" w14:textId="7ADE3FB4" w:rsidR="00317D32" w:rsidRDefault="00317D32">
      <w:pPr>
        <w:pStyle w:val="Textocomentario"/>
      </w:pPr>
      <w:r>
        <w:rPr>
          <w:rStyle w:val="Refdecomentario"/>
        </w:rPr>
        <w:annotationRef/>
      </w:r>
      <w:r>
        <w:t>Aquí hay evidencia: quizás poner un cuadro con las sentencias que solicitan búsqueda y que establecen o no reparaciones.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1B08E07" w15:done="0"/>
  <w15:commentEx w15:paraId="3130DC5C" w15:done="0"/>
  <w15:commentEx w15:paraId="3B3ED5DA" w15:done="0"/>
  <w15:commentEx w15:paraId="1293C910" w15:done="0"/>
  <w15:commentEx w15:paraId="74D8E6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1CC0A" w16cex:dateUtc="2020-10-15T00:12:00Z"/>
  <w16cex:commentExtensible w16cex:durableId="2331CC70" w16cex:dateUtc="2020-10-15T00:13:00Z"/>
  <w16cex:commentExtensible w16cex:durableId="2331CBB6" w16cex:dateUtc="2020-10-15T00:10:00Z"/>
  <w16cex:commentExtensible w16cex:durableId="2331CAEB" w16cex:dateUtc="2020-10-15T00:07:00Z"/>
  <w16cex:commentExtensible w16cex:durableId="2331CB54" w16cex:dateUtc="2020-10-15T0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B08E07" w16cid:durableId="2331CC0A"/>
  <w16cid:commentId w16cid:paraId="3130DC5C" w16cid:durableId="2331CC70"/>
  <w16cid:commentId w16cid:paraId="3B3ED5DA" w16cid:durableId="2331CBB6"/>
  <w16cid:commentId w16cid:paraId="1293C910" w16cid:durableId="2331CAEB"/>
  <w16cid:commentId w16cid:paraId="74D8E697" w16cid:durableId="2331CB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95958" w14:textId="77777777" w:rsidR="00630775" w:rsidRDefault="00630775" w:rsidP="00FE72E8">
      <w:r>
        <w:separator/>
      </w:r>
    </w:p>
  </w:endnote>
  <w:endnote w:type="continuationSeparator" w:id="0">
    <w:p w14:paraId="2315E2E5" w14:textId="77777777" w:rsidR="00630775" w:rsidRDefault="00630775" w:rsidP="00FE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052966122"/>
      <w:docPartObj>
        <w:docPartGallery w:val="Page Numbers (Bottom of Page)"/>
        <w:docPartUnique/>
      </w:docPartObj>
    </w:sdtPr>
    <w:sdtContent>
      <w:p w14:paraId="1B64B640" w14:textId="77777777" w:rsidR="00E9287A" w:rsidRDefault="00E9287A" w:rsidP="00C5034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1B06489" w14:textId="77777777" w:rsidR="00E9287A" w:rsidRDefault="00E9287A" w:rsidP="00912C3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Fonts w:ascii="Helvetica" w:hAnsi="Helvetica"/>
        <w:sz w:val="18"/>
        <w:szCs w:val="18"/>
      </w:rPr>
      <w:id w:val="9806863"/>
      <w:docPartObj>
        <w:docPartGallery w:val="Page Numbers (Bottom of Page)"/>
        <w:docPartUnique/>
      </w:docPartObj>
    </w:sdtPr>
    <w:sdtContent>
      <w:p w14:paraId="0C06EF0B" w14:textId="77777777" w:rsidR="00E9287A" w:rsidRPr="00912C34" w:rsidRDefault="00E9287A" w:rsidP="00C50349">
        <w:pPr>
          <w:pStyle w:val="Piedepgina"/>
          <w:framePr w:wrap="none" w:vAnchor="text" w:hAnchor="margin" w:xAlign="right" w:y="1"/>
          <w:rPr>
            <w:rStyle w:val="Nmerodepgina"/>
            <w:rFonts w:ascii="Helvetica" w:hAnsi="Helvetica"/>
            <w:sz w:val="18"/>
            <w:szCs w:val="18"/>
          </w:rPr>
        </w:pPr>
        <w:r w:rsidRPr="00912C34">
          <w:rPr>
            <w:rStyle w:val="Nmerodepgina"/>
            <w:rFonts w:ascii="Helvetica" w:hAnsi="Helvetica"/>
            <w:sz w:val="18"/>
            <w:szCs w:val="18"/>
          </w:rPr>
          <w:fldChar w:fldCharType="begin"/>
        </w:r>
        <w:r w:rsidRPr="00912C34">
          <w:rPr>
            <w:rStyle w:val="Nmerodepgina"/>
            <w:rFonts w:ascii="Helvetica" w:hAnsi="Helvetica"/>
            <w:sz w:val="18"/>
            <w:szCs w:val="18"/>
          </w:rPr>
          <w:instrText xml:space="preserve"> PAGE </w:instrText>
        </w:r>
        <w:r w:rsidRPr="00912C34">
          <w:rPr>
            <w:rStyle w:val="Nmerodepgina"/>
            <w:rFonts w:ascii="Helvetica" w:hAnsi="Helvetica"/>
            <w:sz w:val="18"/>
            <w:szCs w:val="18"/>
          </w:rPr>
          <w:fldChar w:fldCharType="separate"/>
        </w:r>
        <w:r>
          <w:rPr>
            <w:rStyle w:val="Nmerodepgina"/>
            <w:rFonts w:ascii="Helvetica" w:hAnsi="Helvetica"/>
            <w:noProof/>
            <w:sz w:val="18"/>
            <w:szCs w:val="18"/>
          </w:rPr>
          <w:t>28</w:t>
        </w:r>
        <w:r w:rsidRPr="00912C34">
          <w:rPr>
            <w:rStyle w:val="Nmerodepgina"/>
            <w:rFonts w:ascii="Helvetica" w:hAnsi="Helvetica"/>
            <w:sz w:val="18"/>
            <w:szCs w:val="18"/>
          </w:rPr>
          <w:fldChar w:fldCharType="end"/>
        </w:r>
      </w:p>
    </w:sdtContent>
  </w:sdt>
  <w:p w14:paraId="010D22E3" w14:textId="77777777" w:rsidR="00E9287A" w:rsidRDefault="00E9287A" w:rsidP="00912C3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D09CC" w14:textId="77777777" w:rsidR="00630775" w:rsidRDefault="00630775" w:rsidP="00FE72E8">
      <w:r>
        <w:separator/>
      </w:r>
    </w:p>
  </w:footnote>
  <w:footnote w:type="continuationSeparator" w:id="0">
    <w:p w14:paraId="5FF57585" w14:textId="77777777" w:rsidR="00630775" w:rsidRDefault="00630775" w:rsidP="00FE72E8">
      <w:r>
        <w:continuationSeparator/>
      </w:r>
    </w:p>
  </w:footnote>
  <w:footnote w:id="1">
    <w:p w14:paraId="53C0939F" w14:textId="77777777" w:rsidR="00E9287A" w:rsidRPr="00096FCB" w:rsidRDefault="00E9287A" w:rsidP="00096FCB">
      <w:pPr>
        <w:pStyle w:val="Textonotapie"/>
        <w:jc w:val="both"/>
        <w:rPr>
          <w:rFonts w:ascii="Helvetica" w:hAnsi="Helvetica"/>
          <w:sz w:val="18"/>
          <w:szCs w:val="18"/>
        </w:rPr>
      </w:pPr>
      <w:r w:rsidRPr="00096FCB">
        <w:rPr>
          <w:rStyle w:val="Refdenotaalpie"/>
          <w:rFonts w:ascii="Helvetica" w:hAnsi="Helvetica"/>
          <w:sz w:val="18"/>
          <w:szCs w:val="18"/>
        </w:rPr>
        <w:footnoteRef/>
      </w:r>
      <w:r w:rsidRPr="00096FCB">
        <w:rPr>
          <w:rFonts w:ascii="Helvetica" w:hAnsi="Helvetica"/>
          <w:sz w:val="18"/>
          <w:szCs w:val="18"/>
        </w:rPr>
        <w:t xml:space="preserve"> Ver el informe sobre acceso a la información y problemas de la información sobre desaparición de personas del Observatorio sobre Desaparición e Impunidad (2020). </w:t>
      </w:r>
    </w:p>
  </w:footnote>
  <w:footnote w:id="2">
    <w:p w14:paraId="1DEC2935" w14:textId="77777777" w:rsidR="00E9287A" w:rsidRPr="00096FCB" w:rsidRDefault="00E9287A" w:rsidP="00096FCB">
      <w:pPr>
        <w:pStyle w:val="Textonotapie"/>
        <w:jc w:val="both"/>
        <w:rPr>
          <w:rFonts w:ascii="Helvetica" w:hAnsi="Helvetica"/>
          <w:sz w:val="18"/>
          <w:szCs w:val="18"/>
        </w:rPr>
      </w:pPr>
      <w:r w:rsidRPr="00096FCB">
        <w:rPr>
          <w:rStyle w:val="Refdenotaalpie"/>
          <w:rFonts w:ascii="Helvetica" w:hAnsi="Helvetica"/>
          <w:sz w:val="18"/>
          <w:szCs w:val="18"/>
        </w:rPr>
        <w:footnoteRef/>
      </w:r>
      <w:r w:rsidRPr="00096FCB">
        <w:rPr>
          <w:rFonts w:ascii="Helvetica" w:hAnsi="Helvetica"/>
          <w:sz w:val="18"/>
          <w:szCs w:val="18"/>
        </w:rPr>
        <w:t xml:space="preserve"> El Observatorio agradece especialmente la contribución del maestro Javier Yankelevich. </w:t>
      </w:r>
    </w:p>
  </w:footnote>
  <w:footnote w:id="3">
    <w:p w14:paraId="1575A18E" w14:textId="77777777" w:rsidR="00E9287A" w:rsidRPr="00096FCB" w:rsidRDefault="00E9287A" w:rsidP="006833CC">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w:t>
      </w:r>
      <w:r w:rsidRPr="00096FCB">
        <w:rPr>
          <w:rFonts w:ascii="Helvetica" w:hAnsi="Helvetica"/>
          <w:sz w:val="18"/>
          <w:szCs w:val="18"/>
          <w:lang w:val="es-ES"/>
        </w:rPr>
        <w:t xml:space="preserve">Nombre del archivo, procedencia (federal o local), entidad de los hechos, delito(s) que se analizan, persona detenida, procedimiento oral o escrito, órgano judicial, sede del órgano, expediente, fecha de los hechos, fecha de la denuncia, fecha de judicialización, fecha de sentencia y Litis. </w:t>
      </w:r>
    </w:p>
  </w:footnote>
  <w:footnote w:id="4">
    <w:p w14:paraId="75F02BB8" w14:textId="77777777" w:rsidR="00E9287A" w:rsidRPr="00096FCB" w:rsidRDefault="00E9287A" w:rsidP="00096FCB">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w:t>
      </w:r>
      <w:r w:rsidRPr="00096FCB">
        <w:rPr>
          <w:rFonts w:ascii="Helvetica" w:hAnsi="Helvetica"/>
          <w:sz w:val="18"/>
          <w:szCs w:val="18"/>
          <w:lang w:val="es-ES"/>
        </w:rPr>
        <w:t xml:space="preserve">Hay dos sentencias de segunda instancia donde no se discutió la culpabilidad de los imputados. </w:t>
      </w:r>
    </w:p>
  </w:footnote>
  <w:footnote w:id="5">
    <w:p w14:paraId="19CA1A5F" w14:textId="77777777" w:rsidR="00E9287A" w:rsidRPr="00096FCB" w:rsidRDefault="00E9287A" w:rsidP="00096FCB">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Mujeres: </w:t>
      </w:r>
      <w:r w:rsidRPr="00096FCB">
        <w:rPr>
          <w:rFonts w:ascii="Helvetica" w:hAnsi="Helvetica"/>
          <w:sz w:val="18"/>
          <w:szCs w:val="18"/>
          <w:lang w:val="es-ES"/>
        </w:rPr>
        <w:t xml:space="preserve">II-72/2005, 28/2012, 76/2018, 490/2016 y 110/2018. Víctimas mujer y hombre: 27/2005-IV y 10/2017. </w:t>
      </w:r>
    </w:p>
  </w:footnote>
  <w:footnote w:id="6">
    <w:p w14:paraId="796270F8" w14:textId="77777777" w:rsidR="00E9287A" w:rsidRPr="00096FCB" w:rsidRDefault="00E9287A" w:rsidP="00096FCB">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w:t>
      </w:r>
      <w:r w:rsidRPr="00096FCB">
        <w:rPr>
          <w:rFonts w:ascii="Helvetica" w:hAnsi="Helvetica"/>
          <w:sz w:val="18"/>
          <w:szCs w:val="18"/>
          <w:lang w:val="es-ES"/>
        </w:rPr>
        <w:t xml:space="preserve">Sentencias federales de las causas penales siguientes: 20/2005-I, 26/2013, 255/2013, 101/2013-IV, 104/2013-V, 87/2011 y 19/2013. Sentencias locales de las causas penales siguientes: de Chihuahua la 76/2018, la 194/2017 y la emitida el 12 de abril de 2014 (sin dato de número de causa); de Coahuila la 10/2018 y la 490/2016; de Jalisco la 301/2016C, y de Veracruz la 110/2018. </w:t>
      </w:r>
    </w:p>
  </w:footnote>
  <w:footnote w:id="7">
    <w:p w14:paraId="5094DEB7" w14:textId="77777777" w:rsidR="00E9287A" w:rsidRPr="00096FCB" w:rsidRDefault="00E9287A" w:rsidP="00096FCB">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w:t>
      </w:r>
      <w:r w:rsidRPr="00096FCB">
        <w:rPr>
          <w:rFonts w:ascii="Helvetica" w:hAnsi="Helvetica"/>
          <w:sz w:val="18"/>
          <w:szCs w:val="18"/>
          <w:lang w:val="es-ES"/>
        </w:rPr>
        <w:t xml:space="preserve">También constituye una excepción la causa penal federal 179/2006, una desaparición en el marco de la llamada “Guerra Sucia”, donde se realizan investigaciones complejas para acreditar la responsabilidad del imputado, además la sentencia sirve para reconstruir los hechos de aquella época en el norte del país. </w:t>
      </w:r>
    </w:p>
  </w:footnote>
  <w:footnote w:id="8">
    <w:p w14:paraId="7A30FFCC" w14:textId="77777777" w:rsidR="00E9287A" w:rsidRPr="00096FCB" w:rsidRDefault="00E9287A" w:rsidP="00096FCB">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Causa penal federal: 257/2012-IV-8. Causas penales de Chihuahua: 2831/15, 493/2012 y 554/11.</w:t>
      </w:r>
    </w:p>
  </w:footnote>
  <w:footnote w:id="9">
    <w:p w14:paraId="3B0FA71B" w14:textId="77777777" w:rsidR="00E9287A" w:rsidRPr="00096FCB" w:rsidRDefault="00E9287A" w:rsidP="00140AF1">
      <w:pPr>
        <w:pStyle w:val="Textonotapie"/>
        <w:jc w:val="both"/>
        <w:rPr>
          <w:rFonts w:ascii="Helvetica" w:hAnsi="Helvetica"/>
          <w:sz w:val="18"/>
          <w:szCs w:val="18"/>
          <w:lang w:val="es-ES"/>
        </w:rPr>
      </w:pPr>
      <w:r w:rsidRPr="00096FCB">
        <w:rPr>
          <w:rStyle w:val="Refdenotaalpie"/>
          <w:rFonts w:ascii="Helvetica" w:hAnsi="Helvetica"/>
          <w:sz w:val="18"/>
          <w:szCs w:val="18"/>
        </w:rPr>
        <w:footnoteRef/>
      </w:r>
      <w:r w:rsidRPr="00096FCB">
        <w:rPr>
          <w:rFonts w:ascii="Helvetica" w:hAnsi="Helvetica"/>
          <w:sz w:val="18"/>
          <w:szCs w:val="18"/>
        </w:rPr>
        <w:t xml:space="preserve"> </w:t>
      </w:r>
      <w:r w:rsidRPr="00096FCB">
        <w:rPr>
          <w:rFonts w:ascii="Helvetica" w:hAnsi="Helvetica"/>
          <w:sz w:val="18"/>
          <w:szCs w:val="18"/>
          <w:lang w:val="es-ES"/>
        </w:rPr>
        <w:t xml:space="preserve">Causas penales federales: 159/2005-IV, 142/2003-II, 27/2005-IV, II-72/2005, 41/2013-1 y 28/2012. </w:t>
      </w:r>
    </w:p>
  </w:footnote>
  <w:footnote w:id="10">
    <w:p w14:paraId="4F682EFA" w14:textId="77777777" w:rsidR="00E9287A" w:rsidRPr="006D10C4" w:rsidRDefault="00E9287A">
      <w:pPr>
        <w:pStyle w:val="Textonotapie"/>
        <w:rPr>
          <w:lang w:val="es-ES"/>
        </w:rPr>
      </w:pPr>
      <w:r>
        <w:rPr>
          <w:rStyle w:val="Refdenotaalpie"/>
        </w:rPr>
        <w:footnoteRef/>
      </w:r>
      <w:r>
        <w:t xml:space="preserve"> </w:t>
      </w:r>
      <w:r>
        <w:rPr>
          <w:lang w:val="es-ES"/>
        </w:rPr>
        <w:t>Argumento similar se encuentra en la causa penal 26/2013 del Juzgado</w:t>
      </w:r>
      <w:r w:rsidRPr="006D10C4">
        <w:rPr>
          <w:lang w:val="es-ES"/>
        </w:rPr>
        <w:t xml:space="preserve"> Décimo de Distrito en el Estado de Chihuahua</w:t>
      </w:r>
      <w:r>
        <w:rPr>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3AAE3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1A10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F242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50B9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82DA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58C3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8EDF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0029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ECFB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6429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4EA5609"/>
    <w:multiLevelType w:val="hybridMultilevel"/>
    <w:tmpl w:val="11C041DA"/>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535D652F"/>
    <w:multiLevelType w:val="hybridMultilevel"/>
    <w:tmpl w:val="570E16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8197E83"/>
    <w:multiLevelType w:val="hybridMultilevel"/>
    <w:tmpl w:val="72046A30"/>
    <w:lvl w:ilvl="0" w:tplc="48C8AEEE">
      <w:start w:val="1"/>
      <w:numFmt w:val="bullet"/>
      <w:lvlText w:val="-"/>
      <w:lvlJc w:val="left"/>
      <w:pPr>
        <w:tabs>
          <w:tab w:val="num" w:pos="360"/>
        </w:tabs>
        <w:ind w:left="360" w:hanging="360"/>
      </w:pPr>
      <w:rPr>
        <w:rFonts w:ascii="Arial" w:hAnsi="Arial" w:hint="default"/>
      </w:rPr>
    </w:lvl>
    <w:lvl w:ilvl="1" w:tplc="94CA879A" w:tentative="1">
      <w:start w:val="1"/>
      <w:numFmt w:val="bullet"/>
      <w:lvlText w:val="-"/>
      <w:lvlJc w:val="left"/>
      <w:pPr>
        <w:tabs>
          <w:tab w:val="num" w:pos="1080"/>
        </w:tabs>
        <w:ind w:left="1080" w:hanging="360"/>
      </w:pPr>
      <w:rPr>
        <w:rFonts w:ascii="Arial" w:hAnsi="Arial" w:hint="default"/>
      </w:rPr>
    </w:lvl>
    <w:lvl w:ilvl="2" w:tplc="C4FC7524" w:tentative="1">
      <w:start w:val="1"/>
      <w:numFmt w:val="bullet"/>
      <w:lvlText w:val="-"/>
      <w:lvlJc w:val="left"/>
      <w:pPr>
        <w:tabs>
          <w:tab w:val="num" w:pos="1800"/>
        </w:tabs>
        <w:ind w:left="1800" w:hanging="360"/>
      </w:pPr>
      <w:rPr>
        <w:rFonts w:ascii="Arial" w:hAnsi="Arial" w:hint="default"/>
      </w:rPr>
    </w:lvl>
    <w:lvl w:ilvl="3" w:tplc="6E2A98C2" w:tentative="1">
      <w:start w:val="1"/>
      <w:numFmt w:val="bullet"/>
      <w:lvlText w:val="-"/>
      <w:lvlJc w:val="left"/>
      <w:pPr>
        <w:tabs>
          <w:tab w:val="num" w:pos="2520"/>
        </w:tabs>
        <w:ind w:left="2520" w:hanging="360"/>
      </w:pPr>
      <w:rPr>
        <w:rFonts w:ascii="Arial" w:hAnsi="Arial" w:hint="default"/>
      </w:rPr>
    </w:lvl>
    <w:lvl w:ilvl="4" w:tplc="D828FA52" w:tentative="1">
      <w:start w:val="1"/>
      <w:numFmt w:val="bullet"/>
      <w:lvlText w:val="-"/>
      <w:lvlJc w:val="left"/>
      <w:pPr>
        <w:tabs>
          <w:tab w:val="num" w:pos="3240"/>
        </w:tabs>
        <w:ind w:left="3240" w:hanging="360"/>
      </w:pPr>
      <w:rPr>
        <w:rFonts w:ascii="Arial" w:hAnsi="Arial" w:hint="default"/>
      </w:rPr>
    </w:lvl>
    <w:lvl w:ilvl="5" w:tplc="A4F269DE" w:tentative="1">
      <w:start w:val="1"/>
      <w:numFmt w:val="bullet"/>
      <w:lvlText w:val="-"/>
      <w:lvlJc w:val="left"/>
      <w:pPr>
        <w:tabs>
          <w:tab w:val="num" w:pos="3960"/>
        </w:tabs>
        <w:ind w:left="3960" w:hanging="360"/>
      </w:pPr>
      <w:rPr>
        <w:rFonts w:ascii="Arial" w:hAnsi="Arial" w:hint="default"/>
      </w:rPr>
    </w:lvl>
    <w:lvl w:ilvl="6" w:tplc="D890B9EC" w:tentative="1">
      <w:start w:val="1"/>
      <w:numFmt w:val="bullet"/>
      <w:lvlText w:val="-"/>
      <w:lvlJc w:val="left"/>
      <w:pPr>
        <w:tabs>
          <w:tab w:val="num" w:pos="4680"/>
        </w:tabs>
        <w:ind w:left="4680" w:hanging="360"/>
      </w:pPr>
      <w:rPr>
        <w:rFonts w:ascii="Arial" w:hAnsi="Arial" w:hint="default"/>
      </w:rPr>
    </w:lvl>
    <w:lvl w:ilvl="7" w:tplc="0AEE8864" w:tentative="1">
      <w:start w:val="1"/>
      <w:numFmt w:val="bullet"/>
      <w:lvlText w:val="-"/>
      <w:lvlJc w:val="left"/>
      <w:pPr>
        <w:tabs>
          <w:tab w:val="num" w:pos="5400"/>
        </w:tabs>
        <w:ind w:left="5400" w:hanging="360"/>
      </w:pPr>
      <w:rPr>
        <w:rFonts w:ascii="Arial" w:hAnsi="Arial" w:hint="default"/>
      </w:rPr>
    </w:lvl>
    <w:lvl w:ilvl="8" w:tplc="C57CDCC6"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649E4FAF"/>
    <w:multiLevelType w:val="hybridMultilevel"/>
    <w:tmpl w:val="42AAC66C"/>
    <w:lvl w:ilvl="0" w:tplc="5A40B38A">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9BD46E8"/>
    <w:multiLevelType w:val="hybridMultilevel"/>
    <w:tmpl w:val="E876A8BA"/>
    <w:lvl w:ilvl="0" w:tplc="902A0E68">
      <w:start w:val="1"/>
      <w:numFmt w:val="bullet"/>
      <w:lvlText w:val="-"/>
      <w:lvlJc w:val="left"/>
      <w:pPr>
        <w:tabs>
          <w:tab w:val="num" w:pos="720"/>
        </w:tabs>
        <w:ind w:left="720" w:hanging="360"/>
      </w:pPr>
      <w:rPr>
        <w:rFonts w:ascii="Times New Roman" w:hAnsi="Times New Roman" w:hint="default"/>
      </w:rPr>
    </w:lvl>
    <w:lvl w:ilvl="1" w:tplc="0A68794C" w:tentative="1">
      <w:start w:val="1"/>
      <w:numFmt w:val="bullet"/>
      <w:lvlText w:val="-"/>
      <w:lvlJc w:val="left"/>
      <w:pPr>
        <w:tabs>
          <w:tab w:val="num" w:pos="1440"/>
        </w:tabs>
        <w:ind w:left="1440" w:hanging="360"/>
      </w:pPr>
      <w:rPr>
        <w:rFonts w:ascii="Times New Roman" w:hAnsi="Times New Roman" w:hint="default"/>
      </w:rPr>
    </w:lvl>
    <w:lvl w:ilvl="2" w:tplc="E4808F32" w:tentative="1">
      <w:start w:val="1"/>
      <w:numFmt w:val="bullet"/>
      <w:lvlText w:val="-"/>
      <w:lvlJc w:val="left"/>
      <w:pPr>
        <w:tabs>
          <w:tab w:val="num" w:pos="2160"/>
        </w:tabs>
        <w:ind w:left="2160" w:hanging="360"/>
      </w:pPr>
      <w:rPr>
        <w:rFonts w:ascii="Times New Roman" w:hAnsi="Times New Roman" w:hint="default"/>
      </w:rPr>
    </w:lvl>
    <w:lvl w:ilvl="3" w:tplc="E196CD02" w:tentative="1">
      <w:start w:val="1"/>
      <w:numFmt w:val="bullet"/>
      <w:lvlText w:val="-"/>
      <w:lvlJc w:val="left"/>
      <w:pPr>
        <w:tabs>
          <w:tab w:val="num" w:pos="2880"/>
        </w:tabs>
        <w:ind w:left="2880" w:hanging="360"/>
      </w:pPr>
      <w:rPr>
        <w:rFonts w:ascii="Times New Roman" w:hAnsi="Times New Roman" w:hint="default"/>
      </w:rPr>
    </w:lvl>
    <w:lvl w:ilvl="4" w:tplc="41BE9F58" w:tentative="1">
      <w:start w:val="1"/>
      <w:numFmt w:val="bullet"/>
      <w:lvlText w:val="-"/>
      <w:lvlJc w:val="left"/>
      <w:pPr>
        <w:tabs>
          <w:tab w:val="num" w:pos="3600"/>
        </w:tabs>
        <w:ind w:left="3600" w:hanging="360"/>
      </w:pPr>
      <w:rPr>
        <w:rFonts w:ascii="Times New Roman" w:hAnsi="Times New Roman" w:hint="default"/>
      </w:rPr>
    </w:lvl>
    <w:lvl w:ilvl="5" w:tplc="8D76784A" w:tentative="1">
      <w:start w:val="1"/>
      <w:numFmt w:val="bullet"/>
      <w:lvlText w:val="-"/>
      <w:lvlJc w:val="left"/>
      <w:pPr>
        <w:tabs>
          <w:tab w:val="num" w:pos="4320"/>
        </w:tabs>
        <w:ind w:left="4320" w:hanging="360"/>
      </w:pPr>
      <w:rPr>
        <w:rFonts w:ascii="Times New Roman" w:hAnsi="Times New Roman" w:hint="default"/>
      </w:rPr>
    </w:lvl>
    <w:lvl w:ilvl="6" w:tplc="21AE8AA2" w:tentative="1">
      <w:start w:val="1"/>
      <w:numFmt w:val="bullet"/>
      <w:lvlText w:val="-"/>
      <w:lvlJc w:val="left"/>
      <w:pPr>
        <w:tabs>
          <w:tab w:val="num" w:pos="5040"/>
        </w:tabs>
        <w:ind w:left="5040" w:hanging="360"/>
      </w:pPr>
      <w:rPr>
        <w:rFonts w:ascii="Times New Roman" w:hAnsi="Times New Roman" w:hint="default"/>
      </w:rPr>
    </w:lvl>
    <w:lvl w:ilvl="7" w:tplc="DDBAAB20" w:tentative="1">
      <w:start w:val="1"/>
      <w:numFmt w:val="bullet"/>
      <w:lvlText w:val="-"/>
      <w:lvlJc w:val="left"/>
      <w:pPr>
        <w:tabs>
          <w:tab w:val="num" w:pos="5760"/>
        </w:tabs>
        <w:ind w:left="5760" w:hanging="360"/>
      </w:pPr>
      <w:rPr>
        <w:rFonts w:ascii="Times New Roman" w:hAnsi="Times New Roman" w:hint="default"/>
      </w:rPr>
    </w:lvl>
    <w:lvl w:ilvl="8" w:tplc="82324AB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E35426C"/>
    <w:multiLevelType w:val="hybridMultilevel"/>
    <w:tmpl w:val="C3F4DA5A"/>
    <w:lvl w:ilvl="0" w:tplc="54B895B4">
      <w:start w:val="1"/>
      <w:numFmt w:val="bullet"/>
      <w:lvlText w:val="-"/>
      <w:lvlJc w:val="left"/>
      <w:pPr>
        <w:tabs>
          <w:tab w:val="num" w:pos="360"/>
        </w:tabs>
        <w:ind w:left="360" w:hanging="360"/>
      </w:pPr>
      <w:rPr>
        <w:rFonts w:ascii="Arial" w:hAnsi="Arial" w:hint="default"/>
      </w:rPr>
    </w:lvl>
    <w:lvl w:ilvl="1" w:tplc="7FDCA5A0" w:tentative="1">
      <w:start w:val="1"/>
      <w:numFmt w:val="bullet"/>
      <w:lvlText w:val="-"/>
      <w:lvlJc w:val="left"/>
      <w:pPr>
        <w:tabs>
          <w:tab w:val="num" w:pos="1080"/>
        </w:tabs>
        <w:ind w:left="1080" w:hanging="360"/>
      </w:pPr>
      <w:rPr>
        <w:rFonts w:ascii="Arial" w:hAnsi="Arial" w:hint="default"/>
      </w:rPr>
    </w:lvl>
    <w:lvl w:ilvl="2" w:tplc="8AB6E610" w:tentative="1">
      <w:start w:val="1"/>
      <w:numFmt w:val="bullet"/>
      <w:lvlText w:val="-"/>
      <w:lvlJc w:val="left"/>
      <w:pPr>
        <w:tabs>
          <w:tab w:val="num" w:pos="1800"/>
        </w:tabs>
        <w:ind w:left="1800" w:hanging="360"/>
      </w:pPr>
      <w:rPr>
        <w:rFonts w:ascii="Arial" w:hAnsi="Arial" w:hint="default"/>
      </w:rPr>
    </w:lvl>
    <w:lvl w:ilvl="3" w:tplc="AED846D0" w:tentative="1">
      <w:start w:val="1"/>
      <w:numFmt w:val="bullet"/>
      <w:lvlText w:val="-"/>
      <w:lvlJc w:val="left"/>
      <w:pPr>
        <w:tabs>
          <w:tab w:val="num" w:pos="2520"/>
        </w:tabs>
        <w:ind w:left="2520" w:hanging="360"/>
      </w:pPr>
      <w:rPr>
        <w:rFonts w:ascii="Arial" w:hAnsi="Arial" w:hint="default"/>
      </w:rPr>
    </w:lvl>
    <w:lvl w:ilvl="4" w:tplc="1360ACF0" w:tentative="1">
      <w:start w:val="1"/>
      <w:numFmt w:val="bullet"/>
      <w:lvlText w:val="-"/>
      <w:lvlJc w:val="left"/>
      <w:pPr>
        <w:tabs>
          <w:tab w:val="num" w:pos="3240"/>
        </w:tabs>
        <w:ind w:left="3240" w:hanging="360"/>
      </w:pPr>
      <w:rPr>
        <w:rFonts w:ascii="Arial" w:hAnsi="Arial" w:hint="default"/>
      </w:rPr>
    </w:lvl>
    <w:lvl w:ilvl="5" w:tplc="F7EA747E" w:tentative="1">
      <w:start w:val="1"/>
      <w:numFmt w:val="bullet"/>
      <w:lvlText w:val="-"/>
      <w:lvlJc w:val="left"/>
      <w:pPr>
        <w:tabs>
          <w:tab w:val="num" w:pos="3960"/>
        </w:tabs>
        <w:ind w:left="3960" w:hanging="360"/>
      </w:pPr>
      <w:rPr>
        <w:rFonts w:ascii="Arial" w:hAnsi="Arial" w:hint="default"/>
      </w:rPr>
    </w:lvl>
    <w:lvl w:ilvl="6" w:tplc="886C213E" w:tentative="1">
      <w:start w:val="1"/>
      <w:numFmt w:val="bullet"/>
      <w:lvlText w:val="-"/>
      <w:lvlJc w:val="left"/>
      <w:pPr>
        <w:tabs>
          <w:tab w:val="num" w:pos="4680"/>
        </w:tabs>
        <w:ind w:left="4680" w:hanging="360"/>
      </w:pPr>
      <w:rPr>
        <w:rFonts w:ascii="Arial" w:hAnsi="Arial" w:hint="default"/>
      </w:rPr>
    </w:lvl>
    <w:lvl w:ilvl="7" w:tplc="9E164D32" w:tentative="1">
      <w:start w:val="1"/>
      <w:numFmt w:val="bullet"/>
      <w:lvlText w:val="-"/>
      <w:lvlJc w:val="left"/>
      <w:pPr>
        <w:tabs>
          <w:tab w:val="num" w:pos="5400"/>
        </w:tabs>
        <w:ind w:left="5400" w:hanging="360"/>
      </w:pPr>
      <w:rPr>
        <w:rFonts w:ascii="Arial" w:hAnsi="Arial" w:hint="default"/>
      </w:rPr>
    </w:lvl>
    <w:lvl w:ilvl="8" w:tplc="D99A62F2"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744B2A53"/>
    <w:multiLevelType w:val="hybridMultilevel"/>
    <w:tmpl w:val="EE500EA4"/>
    <w:lvl w:ilvl="0" w:tplc="10CE191E">
      <w:start w:val="1"/>
      <w:numFmt w:val="bullet"/>
      <w:lvlText w:val="-"/>
      <w:lvlJc w:val="left"/>
      <w:pPr>
        <w:tabs>
          <w:tab w:val="num" w:pos="360"/>
        </w:tabs>
        <w:ind w:left="360" w:hanging="360"/>
      </w:pPr>
      <w:rPr>
        <w:rFonts w:ascii="Arial" w:hAnsi="Arial" w:hint="default"/>
      </w:rPr>
    </w:lvl>
    <w:lvl w:ilvl="1" w:tplc="E72E850E" w:tentative="1">
      <w:start w:val="1"/>
      <w:numFmt w:val="bullet"/>
      <w:lvlText w:val="-"/>
      <w:lvlJc w:val="left"/>
      <w:pPr>
        <w:tabs>
          <w:tab w:val="num" w:pos="1080"/>
        </w:tabs>
        <w:ind w:left="1080" w:hanging="360"/>
      </w:pPr>
      <w:rPr>
        <w:rFonts w:ascii="Arial" w:hAnsi="Arial" w:hint="default"/>
      </w:rPr>
    </w:lvl>
    <w:lvl w:ilvl="2" w:tplc="E5D6CFF0" w:tentative="1">
      <w:start w:val="1"/>
      <w:numFmt w:val="bullet"/>
      <w:lvlText w:val="-"/>
      <w:lvlJc w:val="left"/>
      <w:pPr>
        <w:tabs>
          <w:tab w:val="num" w:pos="1800"/>
        </w:tabs>
        <w:ind w:left="1800" w:hanging="360"/>
      </w:pPr>
      <w:rPr>
        <w:rFonts w:ascii="Arial" w:hAnsi="Arial" w:hint="default"/>
      </w:rPr>
    </w:lvl>
    <w:lvl w:ilvl="3" w:tplc="A5BEDBFA" w:tentative="1">
      <w:start w:val="1"/>
      <w:numFmt w:val="bullet"/>
      <w:lvlText w:val="-"/>
      <w:lvlJc w:val="left"/>
      <w:pPr>
        <w:tabs>
          <w:tab w:val="num" w:pos="2520"/>
        </w:tabs>
        <w:ind w:left="2520" w:hanging="360"/>
      </w:pPr>
      <w:rPr>
        <w:rFonts w:ascii="Arial" w:hAnsi="Arial" w:hint="default"/>
      </w:rPr>
    </w:lvl>
    <w:lvl w:ilvl="4" w:tplc="9586D508" w:tentative="1">
      <w:start w:val="1"/>
      <w:numFmt w:val="bullet"/>
      <w:lvlText w:val="-"/>
      <w:lvlJc w:val="left"/>
      <w:pPr>
        <w:tabs>
          <w:tab w:val="num" w:pos="3240"/>
        </w:tabs>
        <w:ind w:left="3240" w:hanging="360"/>
      </w:pPr>
      <w:rPr>
        <w:rFonts w:ascii="Arial" w:hAnsi="Arial" w:hint="default"/>
      </w:rPr>
    </w:lvl>
    <w:lvl w:ilvl="5" w:tplc="4150FBE4" w:tentative="1">
      <w:start w:val="1"/>
      <w:numFmt w:val="bullet"/>
      <w:lvlText w:val="-"/>
      <w:lvlJc w:val="left"/>
      <w:pPr>
        <w:tabs>
          <w:tab w:val="num" w:pos="3960"/>
        </w:tabs>
        <w:ind w:left="3960" w:hanging="360"/>
      </w:pPr>
      <w:rPr>
        <w:rFonts w:ascii="Arial" w:hAnsi="Arial" w:hint="default"/>
      </w:rPr>
    </w:lvl>
    <w:lvl w:ilvl="6" w:tplc="1C4ACA44" w:tentative="1">
      <w:start w:val="1"/>
      <w:numFmt w:val="bullet"/>
      <w:lvlText w:val="-"/>
      <w:lvlJc w:val="left"/>
      <w:pPr>
        <w:tabs>
          <w:tab w:val="num" w:pos="4680"/>
        </w:tabs>
        <w:ind w:left="4680" w:hanging="360"/>
      </w:pPr>
      <w:rPr>
        <w:rFonts w:ascii="Arial" w:hAnsi="Arial" w:hint="default"/>
      </w:rPr>
    </w:lvl>
    <w:lvl w:ilvl="7" w:tplc="232E1110" w:tentative="1">
      <w:start w:val="1"/>
      <w:numFmt w:val="bullet"/>
      <w:lvlText w:val="-"/>
      <w:lvlJc w:val="left"/>
      <w:pPr>
        <w:tabs>
          <w:tab w:val="num" w:pos="5400"/>
        </w:tabs>
        <w:ind w:left="5400" w:hanging="360"/>
      </w:pPr>
      <w:rPr>
        <w:rFonts w:ascii="Arial" w:hAnsi="Arial" w:hint="default"/>
      </w:rPr>
    </w:lvl>
    <w:lvl w:ilvl="8" w:tplc="15B88E88" w:tentative="1">
      <w:start w:val="1"/>
      <w:numFmt w:val="bullet"/>
      <w:lvlText w:val="-"/>
      <w:lvlJc w:val="left"/>
      <w:pPr>
        <w:tabs>
          <w:tab w:val="num" w:pos="6120"/>
        </w:tabs>
        <w:ind w:left="6120" w:hanging="360"/>
      </w:pPr>
      <w:rPr>
        <w:rFonts w:ascii="Arial" w:hAnsi="Arial" w:hint="default"/>
      </w:rPr>
    </w:lvl>
  </w:abstractNum>
  <w:num w:numId="1">
    <w:abstractNumId w:val="14"/>
  </w:num>
  <w:num w:numId="2">
    <w:abstractNumId w:val="10"/>
  </w:num>
  <w:num w:numId="3">
    <w:abstractNumId w:val="11"/>
  </w:num>
  <w:num w:numId="4">
    <w:abstractNumId w:val="13"/>
  </w:num>
  <w:num w:numId="5">
    <w:abstractNumId w:val="16"/>
  </w:num>
  <w:num w:numId="6">
    <w:abstractNumId w:val="17"/>
  </w:num>
  <w:num w:numId="7">
    <w:abstractNumId w:val="4"/>
  </w:num>
  <w:num w:numId="8">
    <w:abstractNumId w:val="5"/>
  </w:num>
  <w:num w:numId="9">
    <w:abstractNumId w:val="6"/>
  </w:num>
  <w:num w:numId="10">
    <w:abstractNumId w:val="7"/>
  </w:num>
  <w:num w:numId="11">
    <w:abstractNumId w:val="9"/>
  </w:num>
  <w:num w:numId="12">
    <w:abstractNumId w:val="0"/>
  </w:num>
  <w:num w:numId="13">
    <w:abstractNumId w:val="1"/>
  </w:num>
  <w:num w:numId="14">
    <w:abstractNumId w:val="2"/>
  </w:num>
  <w:num w:numId="15">
    <w:abstractNumId w:val="3"/>
  </w:num>
  <w:num w:numId="16">
    <w:abstractNumId w:val="8"/>
  </w:num>
  <w:num w:numId="17">
    <w:abstractNumId w:val="15"/>
  </w:num>
  <w:num w:numId="1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ina Mariela Ansolabehere">
    <w15:presenceInfo w15:providerId="AD" w15:userId="S::kansolab@unam.mx::020b7684-1638-41ab-a3d6-2d96aa4e4b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EF"/>
    <w:rsid w:val="00005283"/>
    <w:rsid w:val="000075E4"/>
    <w:rsid w:val="00010D02"/>
    <w:rsid w:val="00017456"/>
    <w:rsid w:val="00020F1B"/>
    <w:rsid w:val="00035101"/>
    <w:rsid w:val="00041A42"/>
    <w:rsid w:val="000426E7"/>
    <w:rsid w:val="000428ED"/>
    <w:rsid w:val="00042CE4"/>
    <w:rsid w:val="0005131D"/>
    <w:rsid w:val="000565CE"/>
    <w:rsid w:val="0006588B"/>
    <w:rsid w:val="0007716D"/>
    <w:rsid w:val="00083961"/>
    <w:rsid w:val="00085AE0"/>
    <w:rsid w:val="000914ED"/>
    <w:rsid w:val="00095869"/>
    <w:rsid w:val="00095E12"/>
    <w:rsid w:val="00095FBD"/>
    <w:rsid w:val="00096323"/>
    <w:rsid w:val="00096FCB"/>
    <w:rsid w:val="000A4076"/>
    <w:rsid w:val="000A4CD3"/>
    <w:rsid w:val="000B2FDA"/>
    <w:rsid w:val="000C5E83"/>
    <w:rsid w:val="000C6EA2"/>
    <w:rsid w:val="000D12B1"/>
    <w:rsid w:val="000D593C"/>
    <w:rsid w:val="000E00CA"/>
    <w:rsid w:val="000E086A"/>
    <w:rsid w:val="000E59E5"/>
    <w:rsid w:val="000E787C"/>
    <w:rsid w:val="000F38D7"/>
    <w:rsid w:val="000F533B"/>
    <w:rsid w:val="0010027F"/>
    <w:rsid w:val="00101406"/>
    <w:rsid w:val="00104573"/>
    <w:rsid w:val="00107B3E"/>
    <w:rsid w:val="00107CDD"/>
    <w:rsid w:val="001235F5"/>
    <w:rsid w:val="00126794"/>
    <w:rsid w:val="00134F23"/>
    <w:rsid w:val="00140AF1"/>
    <w:rsid w:val="00152B5D"/>
    <w:rsid w:val="00152DC7"/>
    <w:rsid w:val="00153770"/>
    <w:rsid w:val="00153E00"/>
    <w:rsid w:val="00160199"/>
    <w:rsid w:val="001610CD"/>
    <w:rsid w:val="00161669"/>
    <w:rsid w:val="0016260B"/>
    <w:rsid w:val="00162BAE"/>
    <w:rsid w:val="00165EEC"/>
    <w:rsid w:val="00176C47"/>
    <w:rsid w:val="001861F9"/>
    <w:rsid w:val="001963D7"/>
    <w:rsid w:val="00196D61"/>
    <w:rsid w:val="001A6CBD"/>
    <w:rsid w:val="001C075C"/>
    <w:rsid w:val="001D18FA"/>
    <w:rsid w:val="001D27D0"/>
    <w:rsid w:val="001D6992"/>
    <w:rsid w:val="001F79C2"/>
    <w:rsid w:val="00203400"/>
    <w:rsid w:val="00206943"/>
    <w:rsid w:val="0021163B"/>
    <w:rsid w:val="00216FB3"/>
    <w:rsid w:val="002276D5"/>
    <w:rsid w:val="002341CB"/>
    <w:rsid w:val="00235AD5"/>
    <w:rsid w:val="00236ABD"/>
    <w:rsid w:val="00237621"/>
    <w:rsid w:val="002414DE"/>
    <w:rsid w:val="0024588E"/>
    <w:rsid w:val="00250B30"/>
    <w:rsid w:val="00255140"/>
    <w:rsid w:val="00261EB3"/>
    <w:rsid w:val="002621FD"/>
    <w:rsid w:val="002648EC"/>
    <w:rsid w:val="00267625"/>
    <w:rsid w:val="00274642"/>
    <w:rsid w:val="00284D1D"/>
    <w:rsid w:val="0028537C"/>
    <w:rsid w:val="002A2A4E"/>
    <w:rsid w:val="002A768B"/>
    <w:rsid w:val="002E2361"/>
    <w:rsid w:val="002E49DE"/>
    <w:rsid w:val="002E5C2B"/>
    <w:rsid w:val="00302373"/>
    <w:rsid w:val="003041E9"/>
    <w:rsid w:val="00312C94"/>
    <w:rsid w:val="00317D32"/>
    <w:rsid w:val="00332376"/>
    <w:rsid w:val="003331E3"/>
    <w:rsid w:val="00337379"/>
    <w:rsid w:val="00354288"/>
    <w:rsid w:val="00354DCD"/>
    <w:rsid w:val="00362FD7"/>
    <w:rsid w:val="003665C9"/>
    <w:rsid w:val="00373CE7"/>
    <w:rsid w:val="0038676A"/>
    <w:rsid w:val="0039121B"/>
    <w:rsid w:val="0039758E"/>
    <w:rsid w:val="003A50F9"/>
    <w:rsid w:val="003A725A"/>
    <w:rsid w:val="003B55F7"/>
    <w:rsid w:val="003C16A5"/>
    <w:rsid w:val="003C6DC5"/>
    <w:rsid w:val="003D4093"/>
    <w:rsid w:val="003D44BD"/>
    <w:rsid w:val="003F4D5D"/>
    <w:rsid w:val="00412E00"/>
    <w:rsid w:val="00420F85"/>
    <w:rsid w:val="00426C7E"/>
    <w:rsid w:val="00430556"/>
    <w:rsid w:val="00432DEA"/>
    <w:rsid w:val="00432F97"/>
    <w:rsid w:val="00433F32"/>
    <w:rsid w:val="004420B8"/>
    <w:rsid w:val="00444B6D"/>
    <w:rsid w:val="004516EA"/>
    <w:rsid w:val="004522E6"/>
    <w:rsid w:val="00456FFA"/>
    <w:rsid w:val="00463B33"/>
    <w:rsid w:val="00474F9F"/>
    <w:rsid w:val="004943E7"/>
    <w:rsid w:val="004B537B"/>
    <w:rsid w:val="004B742E"/>
    <w:rsid w:val="004C0553"/>
    <w:rsid w:val="004C7C96"/>
    <w:rsid w:val="004D6E12"/>
    <w:rsid w:val="004F0030"/>
    <w:rsid w:val="004F0DEB"/>
    <w:rsid w:val="004F29BA"/>
    <w:rsid w:val="004F70A7"/>
    <w:rsid w:val="005000B4"/>
    <w:rsid w:val="00501BB8"/>
    <w:rsid w:val="0051397D"/>
    <w:rsid w:val="005229FF"/>
    <w:rsid w:val="00532B00"/>
    <w:rsid w:val="00532BF5"/>
    <w:rsid w:val="00532F3C"/>
    <w:rsid w:val="00536C47"/>
    <w:rsid w:val="00541E3B"/>
    <w:rsid w:val="00544E21"/>
    <w:rsid w:val="00545394"/>
    <w:rsid w:val="005463D6"/>
    <w:rsid w:val="00554E12"/>
    <w:rsid w:val="00555047"/>
    <w:rsid w:val="00555D3A"/>
    <w:rsid w:val="005843F0"/>
    <w:rsid w:val="00590AE4"/>
    <w:rsid w:val="005948FB"/>
    <w:rsid w:val="005A07F6"/>
    <w:rsid w:val="005A7B6D"/>
    <w:rsid w:val="005B71B0"/>
    <w:rsid w:val="005C756D"/>
    <w:rsid w:val="005F295C"/>
    <w:rsid w:val="005F43D0"/>
    <w:rsid w:val="006066AB"/>
    <w:rsid w:val="006076C1"/>
    <w:rsid w:val="00624EE2"/>
    <w:rsid w:val="00630775"/>
    <w:rsid w:val="00634020"/>
    <w:rsid w:val="0064083B"/>
    <w:rsid w:val="00650D33"/>
    <w:rsid w:val="0066244F"/>
    <w:rsid w:val="00662A1E"/>
    <w:rsid w:val="00665B18"/>
    <w:rsid w:val="006833CC"/>
    <w:rsid w:val="006A4448"/>
    <w:rsid w:val="006C08DA"/>
    <w:rsid w:val="006D10C4"/>
    <w:rsid w:val="006F0934"/>
    <w:rsid w:val="006F2E74"/>
    <w:rsid w:val="00701241"/>
    <w:rsid w:val="00702193"/>
    <w:rsid w:val="00704A4C"/>
    <w:rsid w:val="00706115"/>
    <w:rsid w:val="00710E31"/>
    <w:rsid w:val="00742C57"/>
    <w:rsid w:val="007433F9"/>
    <w:rsid w:val="00747843"/>
    <w:rsid w:val="00757198"/>
    <w:rsid w:val="007720F2"/>
    <w:rsid w:val="00772F31"/>
    <w:rsid w:val="00775574"/>
    <w:rsid w:val="00795333"/>
    <w:rsid w:val="007A00FA"/>
    <w:rsid w:val="007A3EEB"/>
    <w:rsid w:val="007A5576"/>
    <w:rsid w:val="007B3E4D"/>
    <w:rsid w:val="007C4C5B"/>
    <w:rsid w:val="007E13E4"/>
    <w:rsid w:val="007E18CB"/>
    <w:rsid w:val="00817E0C"/>
    <w:rsid w:val="0082313C"/>
    <w:rsid w:val="00824497"/>
    <w:rsid w:val="008244B3"/>
    <w:rsid w:val="0082779F"/>
    <w:rsid w:val="00830279"/>
    <w:rsid w:val="00837EE1"/>
    <w:rsid w:val="00846254"/>
    <w:rsid w:val="00846952"/>
    <w:rsid w:val="00846BA2"/>
    <w:rsid w:val="00850578"/>
    <w:rsid w:val="00853965"/>
    <w:rsid w:val="0085676D"/>
    <w:rsid w:val="00857D32"/>
    <w:rsid w:val="00865043"/>
    <w:rsid w:val="0086506B"/>
    <w:rsid w:val="00867244"/>
    <w:rsid w:val="00867F2F"/>
    <w:rsid w:val="00875CBA"/>
    <w:rsid w:val="00876CAD"/>
    <w:rsid w:val="00880D53"/>
    <w:rsid w:val="00881C81"/>
    <w:rsid w:val="0088362A"/>
    <w:rsid w:val="00894596"/>
    <w:rsid w:val="008973D6"/>
    <w:rsid w:val="008A2357"/>
    <w:rsid w:val="008D0934"/>
    <w:rsid w:val="008D3545"/>
    <w:rsid w:val="008D51A0"/>
    <w:rsid w:val="008D580D"/>
    <w:rsid w:val="008E0530"/>
    <w:rsid w:val="008F149B"/>
    <w:rsid w:val="008F57A0"/>
    <w:rsid w:val="00902127"/>
    <w:rsid w:val="00912C34"/>
    <w:rsid w:val="00914D8A"/>
    <w:rsid w:val="00915CBD"/>
    <w:rsid w:val="00916138"/>
    <w:rsid w:val="009337CE"/>
    <w:rsid w:val="009361E2"/>
    <w:rsid w:val="009412BB"/>
    <w:rsid w:val="0094308B"/>
    <w:rsid w:val="009568DF"/>
    <w:rsid w:val="00962293"/>
    <w:rsid w:val="009647D7"/>
    <w:rsid w:val="00976907"/>
    <w:rsid w:val="009935D8"/>
    <w:rsid w:val="009946D0"/>
    <w:rsid w:val="0099553F"/>
    <w:rsid w:val="009956DD"/>
    <w:rsid w:val="009A01CD"/>
    <w:rsid w:val="009A6601"/>
    <w:rsid w:val="009B28F5"/>
    <w:rsid w:val="009B6CB8"/>
    <w:rsid w:val="009D6530"/>
    <w:rsid w:val="009E2B17"/>
    <w:rsid w:val="009E776C"/>
    <w:rsid w:val="00A03C4A"/>
    <w:rsid w:val="00A13B60"/>
    <w:rsid w:val="00A2146D"/>
    <w:rsid w:val="00A310AF"/>
    <w:rsid w:val="00A31A9B"/>
    <w:rsid w:val="00A36A1E"/>
    <w:rsid w:val="00A41A6D"/>
    <w:rsid w:val="00A509DD"/>
    <w:rsid w:val="00A50C78"/>
    <w:rsid w:val="00A51783"/>
    <w:rsid w:val="00A7133C"/>
    <w:rsid w:val="00A72675"/>
    <w:rsid w:val="00A74D9C"/>
    <w:rsid w:val="00A832BB"/>
    <w:rsid w:val="00A8433D"/>
    <w:rsid w:val="00A84869"/>
    <w:rsid w:val="00A87B9D"/>
    <w:rsid w:val="00A90A93"/>
    <w:rsid w:val="00A92528"/>
    <w:rsid w:val="00A95C0C"/>
    <w:rsid w:val="00AA5166"/>
    <w:rsid w:val="00AA70E6"/>
    <w:rsid w:val="00AB1BE4"/>
    <w:rsid w:val="00AB36D7"/>
    <w:rsid w:val="00AC05D5"/>
    <w:rsid w:val="00AC4A9E"/>
    <w:rsid w:val="00AD004B"/>
    <w:rsid w:val="00AD3766"/>
    <w:rsid w:val="00AE48F5"/>
    <w:rsid w:val="00AE6A0E"/>
    <w:rsid w:val="00B0036C"/>
    <w:rsid w:val="00B0741F"/>
    <w:rsid w:val="00B162A7"/>
    <w:rsid w:val="00B17C50"/>
    <w:rsid w:val="00B17CB7"/>
    <w:rsid w:val="00B20E46"/>
    <w:rsid w:val="00B307A6"/>
    <w:rsid w:val="00B33E9B"/>
    <w:rsid w:val="00B359C8"/>
    <w:rsid w:val="00B36E86"/>
    <w:rsid w:val="00B40792"/>
    <w:rsid w:val="00B644C1"/>
    <w:rsid w:val="00B666DC"/>
    <w:rsid w:val="00B76EC7"/>
    <w:rsid w:val="00B81904"/>
    <w:rsid w:val="00B84E82"/>
    <w:rsid w:val="00B93E16"/>
    <w:rsid w:val="00B9565C"/>
    <w:rsid w:val="00BA3299"/>
    <w:rsid w:val="00BB2BB9"/>
    <w:rsid w:val="00BB5A01"/>
    <w:rsid w:val="00BC1104"/>
    <w:rsid w:val="00BD11A4"/>
    <w:rsid w:val="00BD5BA8"/>
    <w:rsid w:val="00BE0FBB"/>
    <w:rsid w:val="00BE3B07"/>
    <w:rsid w:val="00BE73EA"/>
    <w:rsid w:val="00BF215D"/>
    <w:rsid w:val="00BF562E"/>
    <w:rsid w:val="00BF6445"/>
    <w:rsid w:val="00C05E43"/>
    <w:rsid w:val="00C11618"/>
    <w:rsid w:val="00C143BF"/>
    <w:rsid w:val="00C17750"/>
    <w:rsid w:val="00C22B1E"/>
    <w:rsid w:val="00C23505"/>
    <w:rsid w:val="00C363F7"/>
    <w:rsid w:val="00C43694"/>
    <w:rsid w:val="00C458A8"/>
    <w:rsid w:val="00C465A9"/>
    <w:rsid w:val="00C47B98"/>
    <w:rsid w:val="00C50349"/>
    <w:rsid w:val="00C543C7"/>
    <w:rsid w:val="00C604AC"/>
    <w:rsid w:val="00C6108A"/>
    <w:rsid w:val="00C64BD7"/>
    <w:rsid w:val="00C65859"/>
    <w:rsid w:val="00C67163"/>
    <w:rsid w:val="00C6782B"/>
    <w:rsid w:val="00C67D10"/>
    <w:rsid w:val="00C8714C"/>
    <w:rsid w:val="00C91EF7"/>
    <w:rsid w:val="00C944E8"/>
    <w:rsid w:val="00CA47A4"/>
    <w:rsid w:val="00CA6605"/>
    <w:rsid w:val="00CB0F71"/>
    <w:rsid w:val="00CD5926"/>
    <w:rsid w:val="00CE54FD"/>
    <w:rsid w:val="00CE734A"/>
    <w:rsid w:val="00D01732"/>
    <w:rsid w:val="00D02FB3"/>
    <w:rsid w:val="00D03D21"/>
    <w:rsid w:val="00D111C2"/>
    <w:rsid w:val="00D20A7B"/>
    <w:rsid w:val="00D24581"/>
    <w:rsid w:val="00D34B03"/>
    <w:rsid w:val="00D375CB"/>
    <w:rsid w:val="00D45245"/>
    <w:rsid w:val="00D5397A"/>
    <w:rsid w:val="00DA1327"/>
    <w:rsid w:val="00DA60F6"/>
    <w:rsid w:val="00DA7954"/>
    <w:rsid w:val="00DB6A4C"/>
    <w:rsid w:val="00DC2C83"/>
    <w:rsid w:val="00DC56C8"/>
    <w:rsid w:val="00DD5D20"/>
    <w:rsid w:val="00DD61FF"/>
    <w:rsid w:val="00DD7CB0"/>
    <w:rsid w:val="00DE3FE6"/>
    <w:rsid w:val="00DF41F2"/>
    <w:rsid w:val="00DF62CA"/>
    <w:rsid w:val="00E03A68"/>
    <w:rsid w:val="00E12728"/>
    <w:rsid w:val="00E12BEE"/>
    <w:rsid w:val="00E143B4"/>
    <w:rsid w:val="00E158C5"/>
    <w:rsid w:val="00E30B21"/>
    <w:rsid w:val="00E343A8"/>
    <w:rsid w:val="00E428FD"/>
    <w:rsid w:val="00E44A52"/>
    <w:rsid w:val="00E560FD"/>
    <w:rsid w:val="00E65BB1"/>
    <w:rsid w:val="00E8040D"/>
    <w:rsid w:val="00E84BF5"/>
    <w:rsid w:val="00E8588E"/>
    <w:rsid w:val="00E9287A"/>
    <w:rsid w:val="00EA465B"/>
    <w:rsid w:val="00EB021F"/>
    <w:rsid w:val="00EC3510"/>
    <w:rsid w:val="00EC52A6"/>
    <w:rsid w:val="00EC56E5"/>
    <w:rsid w:val="00EC6268"/>
    <w:rsid w:val="00ED32B8"/>
    <w:rsid w:val="00ED6847"/>
    <w:rsid w:val="00EE2318"/>
    <w:rsid w:val="00EE6D8A"/>
    <w:rsid w:val="00EF389F"/>
    <w:rsid w:val="00EF475E"/>
    <w:rsid w:val="00EF6145"/>
    <w:rsid w:val="00EF6A07"/>
    <w:rsid w:val="00F15103"/>
    <w:rsid w:val="00F203E7"/>
    <w:rsid w:val="00F2343C"/>
    <w:rsid w:val="00F23B8D"/>
    <w:rsid w:val="00F24458"/>
    <w:rsid w:val="00F27BAF"/>
    <w:rsid w:val="00F46E62"/>
    <w:rsid w:val="00F51C08"/>
    <w:rsid w:val="00F52847"/>
    <w:rsid w:val="00F5683D"/>
    <w:rsid w:val="00F61F16"/>
    <w:rsid w:val="00F75607"/>
    <w:rsid w:val="00F87A1D"/>
    <w:rsid w:val="00F91BEF"/>
    <w:rsid w:val="00FA3FC6"/>
    <w:rsid w:val="00FA5DF6"/>
    <w:rsid w:val="00FB27AA"/>
    <w:rsid w:val="00FC51DE"/>
    <w:rsid w:val="00FD5A8D"/>
    <w:rsid w:val="00FE242A"/>
    <w:rsid w:val="00FE2EB1"/>
    <w:rsid w:val="00FE69F2"/>
    <w:rsid w:val="00FE72E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6DD7"/>
  <w14:defaultImageDpi w14:val="32767"/>
  <w15:docId w15:val="{3838CDAF-5E52-E247-8EF6-9BACA58E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52"/>
    <w:rPr>
      <w:rFonts w:ascii="Times New Roman" w:eastAsia="Times New Roman" w:hAnsi="Times New Roman" w:cs="Times New Roman"/>
      <w:lang w:val="es-MX" w:eastAsia="es-MX"/>
    </w:rPr>
  </w:style>
  <w:style w:type="paragraph" w:styleId="Ttulo1">
    <w:name w:val="heading 1"/>
    <w:basedOn w:val="Normal"/>
    <w:next w:val="Normal"/>
    <w:link w:val="Ttulo1Car"/>
    <w:uiPriority w:val="9"/>
    <w:qFormat/>
    <w:rsid w:val="000E00CA"/>
    <w:pPr>
      <w:spacing w:before="240" w:line="360" w:lineRule="auto"/>
      <w:jc w:val="both"/>
      <w:outlineLvl w:val="0"/>
    </w:pPr>
    <w:rPr>
      <w:rFonts w:ascii="Helvetica" w:hAnsi="Helvetica"/>
      <w:b/>
      <w:bCs/>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1BEF"/>
    <w:pPr>
      <w:ind w:left="720"/>
      <w:contextualSpacing/>
    </w:pPr>
    <w:rPr>
      <w:rFonts w:asciiTheme="minorHAnsi" w:eastAsiaTheme="minorHAnsi" w:hAnsiTheme="minorHAnsi" w:cstheme="minorBidi"/>
      <w:lang w:val="es-ES_tradnl" w:eastAsia="en-US"/>
    </w:rPr>
  </w:style>
  <w:style w:type="paragraph" w:styleId="Textonotapie">
    <w:name w:val="footnote text"/>
    <w:basedOn w:val="Normal"/>
    <w:link w:val="TextonotapieCar"/>
    <w:uiPriority w:val="99"/>
    <w:semiHidden/>
    <w:unhideWhenUsed/>
    <w:rsid w:val="00FE72E8"/>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FE72E8"/>
    <w:rPr>
      <w:sz w:val="20"/>
      <w:szCs w:val="20"/>
    </w:rPr>
  </w:style>
  <w:style w:type="character" w:styleId="Refdenotaalpie">
    <w:name w:val="footnote reference"/>
    <w:basedOn w:val="Fuentedeprrafopredeter"/>
    <w:uiPriority w:val="99"/>
    <w:semiHidden/>
    <w:unhideWhenUsed/>
    <w:rsid w:val="00FE72E8"/>
    <w:rPr>
      <w:vertAlign w:val="superscript"/>
    </w:rPr>
  </w:style>
  <w:style w:type="paragraph" w:styleId="Textodeglobo">
    <w:name w:val="Balloon Text"/>
    <w:basedOn w:val="Normal"/>
    <w:link w:val="TextodegloboCar"/>
    <w:uiPriority w:val="99"/>
    <w:semiHidden/>
    <w:unhideWhenUsed/>
    <w:rsid w:val="003041E9"/>
    <w:rPr>
      <w:sz w:val="18"/>
      <w:szCs w:val="18"/>
    </w:rPr>
  </w:style>
  <w:style w:type="character" w:customStyle="1" w:styleId="TextodegloboCar">
    <w:name w:val="Texto de globo Car"/>
    <w:basedOn w:val="Fuentedeprrafopredeter"/>
    <w:link w:val="Textodeglobo"/>
    <w:uiPriority w:val="99"/>
    <w:semiHidden/>
    <w:rsid w:val="003041E9"/>
    <w:rPr>
      <w:rFonts w:ascii="Times New Roman" w:eastAsia="Times New Roman" w:hAnsi="Times New Roman" w:cs="Times New Roman"/>
      <w:sz w:val="18"/>
      <w:szCs w:val="18"/>
      <w:lang w:val="es-MX" w:eastAsia="es-MX"/>
    </w:rPr>
  </w:style>
  <w:style w:type="paragraph" w:styleId="Piedepgina">
    <w:name w:val="footer"/>
    <w:basedOn w:val="Normal"/>
    <w:link w:val="PiedepginaCar"/>
    <w:uiPriority w:val="99"/>
    <w:unhideWhenUsed/>
    <w:rsid w:val="00912C34"/>
    <w:pPr>
      <w:tabs>
        <w:tab w:val="center" w:pos="4419"/>
        <w:tab w:val="right" w:pos="8838"/>
      </w:tabs>
    </w:pPr>
  </w:style>
  <w:style w:type="character" w:customStyle="1" w:styleId="PiedepginaCar">
    <w:name w:val="Pie de página Car"/>
    <w:basedOn w:val="Fuentedeprrafopredeter"/>
    <w:link w:val="Piedepgina"/>
    <w:uiPriority w:val="99"/>
    <w:rsid w:val="00912C34"/>
    <w:rPr>
      <w:rFonts w:ascii="Times New Roman" w:eastAsia="Times New Roman" w:hAnsi="Times New Roman" w:cs="Times New Roman"/>
      <w:lang w:val="es-MX" w:eastAsia="es-MX"/>
    </w:rPr>
  </w:style>
  <w:style w:type="character" w:styleId="Nmerodepgina">
    <w:name w:val="page number"/>
    <w:basedOn w:val="Fuentedeprrafopredeter"/>
    <w:uiPriority w:val="99"/>
    <w:semiHidden/>
    <w:unhideWhenUsed/>
    <w:rsid w:val="00912C34"/>
  </w:style>
  <w:style w:type="paragraph" w:styleId="Encabezado">
    <w:name w:val="header"/>
    <w:basedOn w:val="Normal"/>
    <w:link w:val="EncabezadoCar"/>
    <w:uiPriority w:val="99"/>
    <w:unhideWhenUsed/>
    <w:rsid w:val="00912C34"/>
    <w:pPr>
      <w:tabs>
        <w:tab w:val="center" w:pos="4419"/>
        <w:tab w:val="right" w:pos="8838"/>
      </w:tabs>
    </w:pPr>
  </w:style>
  <w:style w:type="character" w:customStyle="1" w:styleId="EncabezadoCar">
    <w:name w:val="Encabezado Car"/>
    <w:basedOn w:val="Fuentedeprrafopredeter"/>
    <w:link w:val="Encabezado"/>
    <w:uiPriority w:val="99"/>
    <w:rsid w:val="00912C34"/>
    <w:rPr>
      <w:rFonts w:ascii="Times New Roman" w:eastAsia="Times New Roman" w:hAnsi="Times New Roman" w:cs="Times New Roman"/>
      <w:lang w:val="es-MX" w:eastAsia="es-MX"/>
    </w:rPr>
  </w:style>
  <w:style w:type="character" w:customStyle="1" w:styleId="Ttulo1Car">
    <w:name w:val="Título 1 Car"/>
    <w:basedOn w:val="Fuentedeprrafopredeter"/>
    <w:link w:val="Ttulo1"/>
    <w:uiPriority w:val="9"/>
    <w:rsid w:val="000E00CA"/>
    <w:rPr>
      <w:rFonts w:ascii="Helvetica" w:eastAsia="Times New Roman" w:hAnsi="Helvetica" w:cs="Times New Roman"/>
      <w:b/>
      <w:bCs/>
      <w:sz w:val="22"/>
      <w:szCs w:val="22"/>
      <w:lang w:val="es-ES" w:eastAsia="es-MX"/>
    </w:rPr>
  </w:style>
  <w:style w:type="paragraph" w:styleId="Bibliografa">
    <w:name w:val="Bibliography"/>
    <w:basedOn w:val="Normal"/>
    <w:next w:val="Normal"/>
    <w:uiPriority w:val="37"/>
    <w:unhideWhenUsed/>
    <w:rsid w:val="000565CE"/>
  </w:style>
  <w:style w:type="character" w:styleId="Refdecomentario">
    <w:name w:val="annotation reference"/>
    <w:basedOn w:val="Fuentedeprrafopredeter"/>
    <w:uiPriority w:val="99"/>
    <w:semiHidden/>
    <w:unhideWhenUsed/>
    <w:rsid w:val="00C944E8"/>
    <w:rPr>
      <w:sz w:val="16"/>
      <w:szCs w:val="16"/>
    </w:rPr>
  </w:style>
  <w:style w:type="paragraph" w:styleId="Textocomentario">
    <w:name w:val="annotation text"/>
    <w:basedOn w:val="Normal"/>
    <w:link w:val="TextocomentarioCar"/>
    <w:uiPriority w:val="99"/>
    <w:semiHidden/>
    <w:unhideWhenUsed/>
    <w:rsid w:val="00C944E8"/>
    <w:rPr>
      <w:sz w:val="20"/>
      <w:szCs w:val="20"/>
    </w:rPr>
  </w:style>
  <w:style w:type="character" w:customStyle="1" w:styleId="TextocomentarioCar">
    <w:name w:val="Texto comentario Car"/>
    <w:basedOn w:val="Fuentedeprrafopredeter"/>
    <w:link w:val="Textocomentario"/>
    <w:uiPriority w:val="99"/>
    <w:semiHidden/>
    <w:rsid w:val="00C944E8"/>
    <w:rPr>
      <w:rFonts w:ascii="Times New Roman" w:eastAsia="Times New Roman" w:hAnsi="Times New Roman" w:cs="Times New Roman"/>
      <w:sz w:val="20"/>
      <w:szCs w:val="20"/>
      <w:lang w:val="es-MX" w:eastAsia="es-MX"/>
    </w:rPr>
  </w:style>
  <w:style w:type="paragraph" w:styleId="Asuntodelcomentario">
    <w:name w:val="annotation subject"/>
    <w:basedOn w:val="Textocomentario"/>
    <w:next w:val="Textocomentario"/>
    <w:link w:val="AsuntodelcomentarioCar"/>
    <w:uiPriority w:val="99"/>
    <w:semiHidden/>
    <w:unhideWhenUsed/>
    <w:rsid w:val="00C944E8"/>
    <w:rPr>
      <w:b/>
      <w:bCs/>
    </w:rPr>
  </w:style>
  <w:style w:type="character" w:customStyle="1" w:styleId="AsuntodelcomentarioCar">
    <w:name w:val="Asunto del comentario Car"/>
    <w:basedOn w:val="TextocomentarioCar"/>
    <w:link w:val="Asuntodelcomentario"/>
    <w:uiPriority w:val="99"/>
    <w:semiHidden/>
    <w:rsid w:val="00C944E8"/>
    <w:rPr>
      <w:rFonts w:ascii="Times New Roman" w:eastAsia="Times New Roman" w:hAnsi="Times New Roman" w:cs="Times New Roman"/>
      <w:b/>
      <w:bCs/>
      <w:sz w:val="20"/>
      <w:szCs w:val="20"/>
      <w:lang w:val="es-MX" w:eastAsia="es-MX"/>
    </w:rPr>
  </w:style>
  <w:style w:type="paragraph" w:styleId="Descripcin">
    <w:name w:val="caption"/>
    <w:basedOn w:val="Normal"/>
    <w:next w:val="Normal"/>
    <w:uiPriority w:val="35"/>
    <w:unhideWhenUsed/>
    <w:qFormat/>
    <w:rsid w:val="003665C9"/>
    <w:pPr>
      <w:keepNext/>
      <w:spacing w:after="200"/>
      <w:jc w:val="center"/>
    </w:pPr>
    <w:rPr>
      <w:rFonts w:ascii="Helvetica" w:eastAsiaTheme="minorHAnsi" w:hAnsi="Helvetica" w:cstheme="minorHAnsi"/>
      <w:i/>
      <w:iCs/>
      <w:sz w:val="22"/>
      <w:szCs w:val="22"/>
      <w:lang w:val="es-419" w:eastAsia="en-US"/>
    </w:rPr>
  </w:style>
  <w:style w:type="table" w:styleId="Tabladecuadrcula4">
    <w:name w:val="Grid Table 4"/>
    <w:basedOn w:val="Tablanormal"/>
    <w:uiPriority w:val="49"/>
    <w:rsid w:val="003665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6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915CBD"/>
    <w:pPr>
      <w:spacing w:before="120"/>
    </w:pPr>
    <w:rPr>
      <w:rFonts w:asciiTheme="minorHAnsi" w:hAnsiTheme="minorHAnsi" w:cstheme="minorHAnsi"/>
      <w:b/>
      <w:bCs/>
      <w:i/>
      <w:iCs/>
    </w:rPr>
  </w:style>
  <w:style w:type="paragraph" w:styleId="TDC2">
    <w:name w:val="toc 2"/>
    <w:basedOn w:val="Normal"/>
    <w:next w:val="Normal"/>
    <w:autoRedefine/>
    <w:uiPriority w:val="39"/>
    <w:unhideWhenUsed/>
    <w:rsid w:val="00915CBD"/>
    <w:pPr>
      <w:spacing w:before="120"/>
      <w:ind w:left="240"/>
    </w:pPr>
    <w:rPr>
      <w:rFonts w:asciiTheme="minorHAnsi" w:hAnsiTheme="minorHAnsi" w:cstheme="minorHAnsi"/>
      <w:b/>
      <w:bCs/>
      <w:sz w:val="22"/>
      <w:szCs w:val="22"/>
    </w:rPr>
  </w:style>
  <w:style w:type="paragraph" w:styleId="TDC3">
    <w:name w:val="toc 3"/>
    <w:basedOn w:val="Normal"/>
    <w:next w:val="Normal"/>
    <w:autoRedefine/>
    <w:uiPriority w:val="39"/>
    <w:unhideWhenUsed/>
    <w:rsid w:val="00915CBD"/>
    <w:pPr>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915CBD"/>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915CBD"/>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915CBD"/>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915CBD"/>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915CBD"/>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915CBD"/>
    <w:pPr>
      <w:ind w:left="1920"/>
    </w:pPr>
    <w:rPr>
      <w:rFonts w:asciiTheme="minorHAnsi" w:hAnsiTheme="minorHAnsi" w:cstheme="minorHAnsi"/>
      <w:sz w:val="20"/>
      <w:szCs w:val="20"/>
    </w:rPr>
  </w:style>
  <w:style w:type="character" w:styleId="Hipervnculo">
    <w:name w:val="Hyperlink"/>
    <w:basedOn w:val="Fuentedeprrafopredeter"/>
    <w:uiPriority w:val="99"/>
    <w:unhideWhenUsed/>
    <w:rsid w:val="00915CBD"/>
    <w:rPr>
      <w:color w:val="0563C1" w:themeColor="hyperlink"/>
      <w:u w:val="single"/>
    </w:rPr>
  </w:style>
  <w:style w:type="paragraph" w:styleId="Tabladeilustraciones">
    <w:name w:val="table of figures"/>
    <w:basedOn w:val="Normal"/>
    <w:next w:val="Normal"/>
    <w:uiPriority w:val="99"/>
    <w:unhideWhenUsed/>
    <w:rsid w:val="00915CBD"/>
    <w:rPr>
      <w:rFonts w:asciiTheme="minorHAnsi" w:hAnsiTheme="minorHAnsi" w:cs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4234">
      <w:bodyDiv w:val="1"/>
      <w:marLeft w:val="0"/>
      <w:marRight w:val="0"/>
      <w:marTop w:val="0"/>
      <w:marBottom w:val="0"/>
      <w:divBdr>
        <w:top w:val="none" w:sz="0" w:space="0" w:color="auto"/>
        <w:left w:val="none" w:sz="0" w:space="0" w:color="auto"/>
        <w:bottom w:val="none" w:sz="0" w:space="0" w:color="auto"/>
        <w:right w:val="none" w:sz="0" w:space="0" w:color="auto"/>
      </w:divBdr>
      <w:divsChild>
        <w:div w:id="1315836036">
          <w:marLeft w:val="446"/>
          <w:marRight w:val="0"/>
          <w:marTop w:val="0"/>
          <w:marBottom w:val="0"/>
          <w:divBdr>
            <w:top w:val="none" w:sz="0" w:space="0" w:color="auto"/>
            <w:left w:val="none" w:sz="0" w:space="0" w:color="auto"/>
            <w:bottom w:val="none" w:sz="0" w:space="0" w:color="auto"/>
            <w:right w:val="none" w:sz="0" w:space="0" w:color="auto"/>
          </w:divBdr>
        </w:div>
        <w:div w:id="2103066881">
          <w:marLeft w:val="446"/>
          <w:marRight w:val="0"/>
          <w:marTop w:val="0"/>
          <w:marBottom w:val="0"/>
          <w:divBdr>
            <w:top w:val="none" w:sz="0" w:space="0" w:color="auto"/>
            <w:left w:val="none" w:sz="0" w:space="0" w:color="auto"/>
            <w:bottom w:val="none" w:sz="0" w:space="0" w:color="auto"/>
            <w:right w:val="none" w:sz="0" w:space="0" w:color="auto"/>
          </w:divBdr>
        </w:div>
        <w:div w:id="563299498">
          <w:marLeft w:val="446"/>
          <w:marRight w:val="0"/>
          <w:marTop w:val="0"/>
          <w:marBottom w:val="0"/>
          <w:divBdr>
            <w:top w:val="none" w:sz="0" w:space="0" w:color="auto"/>
            <w:left w:val="none" w:sz="0" w:space="0" w:color="auto"/>
            <w:bottom w:val="none" w:sz="0" w:space="0" w:color="auto"/>
            <w:right w:val="none" w:sz="0" w:space="0" w:color="auto"/>
          </w:divBdr>
        </w:div>
        <w:div w:id="119492573">
          <w:marLeft w:val="446"/>
          <w:marRight w:val="0"/>
          <w:marTop w:val="0"/>
          <w:marBottom w:val="0"/>
          <w:divBdr>
            <w:top w:val="none" w:sz="0" w:space="0" w:color="auto"/>
            <w:left w:val="none" w:sz="0" w:space="0" w:color="auto"/>
            <w:bottom w:val="none" w:sz="0" w:space="0" w:color="auto"/>
            <w:right w:val="none" w:sz="0" w:space="0" w:color="auto"/>
          </w:divBdr>
        </w:div>
        <w:div w:id="475337262">
          <w:marLeft w:val="446"/>
          <w:marRight w:val="0"/>
          <w:marTop w:val="0"/>
          <w:marBottom w:val="0"/>
          <w:divBdr>
            <w:top w:val="none" w:sz="0" w:space="0" w:color="auto"/>
            <w:left w:val="none" w:sz="0" w:space="0" w:color="auto"/>
            <w:bottom w:val="none" w:sz="0" w:space="0" w:color="auto"/>
            <w:right w:val="none" w:sz="0" w:space="0" w:color="auto"/>
          </w:divBdr>
        </w:div>
        <w:div w:id="1543637701">
          <w:marLeft w:val="446"/>
          <w:marRight w:val="0"/>
          <w:marTop w:val="0"/>
          <w:marBottom w:val="0"/>
          <w:divBdr>
            <w:top w:val="none" w:sz="0" w:space="0" w:color="auto"/>
            <w:left w:val="none" w:sz="0" w:space="0" w:color="auto"/>
            <w:bottom w:val="none" w:sz="0" w:space="0" w:color="auto"/>
            <w:right w:val="none" w:sz="0" w:space="0" w:color="auto"/>
          </w:divBdr>
        </w:div>
        <w:div w:id="1130514753">
          <w:marLeft w:val="446"/>
          <w:marRight w:val="0"/>
          <w:marTop w:val="0"/>
          <w:marBottom w:val="0"/>
          <w:divBdr>
            <w:top w:val="none" w:sz="0" w:space="0" w:color="auto"/>
            <w:left w:val="none" w:sz="0" w:space="0" w:color="auto"/>
            <w:bottom w:val="none" w:sz="0" w:space="0" w:color="auto"/>
            <w:right w:val="none" w:sz="0" w:space="0" w:color="auto"/>
          </w:divBdr>
        </w:div>
        <w:div w:id="1016883133">
          <w:marLeft w:val="446"/>
          <w:marRight w:val="0"/>
          <w:marTop w:val="0"/>
          <w:marBottom w:val="0"/>
          <w:divBdr>
            <w:top w:val="none" w:sz="0" w:space="0" w:color="auto"/>
            <w:left w:val="none" w:sz="0" w:space="0" w:color="auto"/>
            <w:bottom w:val="none" w:sz="0" w:space="0" w:color="auto"/>
            <w:right w:val="none" w:sz="0" w:space="0" w:color="auto"/>
          </w:divBdr>
        </w:div>
        <w:div w:id="1813713319">
          <w:marLeft w:val="446"/>
          <w:marRight w:val="0"/>
          <w:marTop w:val="0"/>
          <w:marBottom w:val="0"/>
          <w:divBdr>
            <w:top w:val="none" w:sz="0" w:space="0" w:color="auto"/>
            <w:left w:val="none" w:sz="0" w:space="0" w:color="auto"/>
            <w:bottom w:val="none" w:sz="0" w:space="0" w:color="auto"/>
            <w:right w:val="none" w:sz="0" w:space="0" w:color="auto"/>
          </w:divBdr>
        </w:div>
        <w:div w:id="2115712370">
          <w:marLeft w:val="446"/>
          <w:marRight w:val="0"/>
          <w:marTop w:val="0"/>
          <w:marBottom w:val="0"/>
          <w:divBdr>
            <w:top w:val="none" w:sz="0" w:space="0" w:color="auto"/>
            <w:left w:val="none" w:sz="0" w:space="0" w:color="auto"/>
            <w:bottom w:val="none" w:sz="0" w:space="0" w:color="auto"/>
            <w:right w:val="none" w:sz="0" w:space="0" w:color="auto"/>
          </w:divBdr>
        </w:div>
        <w:div w:id="295717239">
          <w:marLeft w:val="446"/>
          <w:marRight w:val="0"/>
          <w:marTop w:val="0"/>
          <w:marBottom w:val="0"/>
          <w:divBdr>
            <w:top w:val="none" w:sz="0" w:space="0" w:color="auto"/>
            <w:left w:val="none" w:sz="0" w:space="0" w:color="auto"/>
            <w:bottom w:val="none" w:sz="0" w:space="0" w:color="auto"/>
            <w:right w:val="none" w:sz="0" w:space="0" w:color="auto"/>
          </w:divBdr>
        </w:div>
        <w:div w:id="320087498">
          <w:marLeft w:val="446"/>
          <w:marRight w:val="0"/>
          <w:marTop w:val="0"/>
          <w:marBottom w:val="0"/>
          <w:divBdr>
            <w:top w:val="none" w:sz="0" w:space="0" w:color="auto"/>
            <w:left w:val="none" w:sz="0" w:space="0" w:color="auto"/>
            <w:bottom w:val="none" w:sz="0" w:space="0" w:color="auto"/>
            <w:right w:val="none" w:sz="0" w:space="0" w:color="auto"/>
          </w:divBdr>
        </w:div>
      </w:divsChild>
    </w:div>
    <w:div w:id="71587143">
      <w:bodyDiv w:val="1"/>
      <w:marLeft w:val="0"/>
      <w:marRight w:val="0"/>
      <w:marTop w:val="0"/>
      <w:marBottom w:val="0"/>
      <w:divBdr>
        <w:top w:val="none" w:sz="0" w:space="0" w:color="auto"/>
        <w:left w:val="none" w:sz="0" w:space="0" w:color="auto"/>
        <w:bottom w:val="none" w:sz="0" w:space="0" w:color="auto"/>
        <w:right w:val="none" w:sz="0" w:space="0" w:color="auto"/>
      </w:divBdr>
    </w:div>
    <w:div w:id="136335923">
      <w:bodyDiv w:val="1"/>
      <w:marLeft w:val="0"/>
      <w:marRight w:val="0"/>
      <w:marTop w:val="0"/>
      <w:marBottom w:val="0"/>
      <w:divBdr>
        <w:top w:val="none" w:sz="0" w:space="0" w:color="auto"/>
        <w:left w:val="none" w:sz="0" w:space="0" w:color="auto"/>
        <w:bottom w:val="none" w:sz="0" w:space="0" w:color="auto"/>
        <w:right w:val="none" w:sz="0" w:space="0" w:color="auto"/>
      </w:divBdr>
    </w:div>
    <w:div w:id="246689916">
      <w:bodyDiv w:val="1"/>
      <w:marLeft w:val="0"/>
      <w:marRight w:val="0"/>
      <w:marTop w:val="0"/>
      <w:marBottom w:val="0"/>
      <w:divBdr>
        <w:top w:val="none" w:sz="0" w:space="0" w:color="auto"/>
        <w:left w:val="none" w:sz="0" w:space="0" w:color="auto"/>
        <w:bottom w:val="none" w:sz="0" w:space="0" w:color="auto"/>
        <w:right w:val="none" w:sz="0" w:space="0" w:color="auto"/>
      </w:divBdr>
    </w:div>
    <w:div w:id="263265720">
      <w:bodyDiv w:val="1"/>
      <w:marLeft w:val="0"/>
      <w:marRight w:val="0"/>
      <w:marTop w:val="0"/>
      <w:marBottom w:val="0"/>
      <w:divBdr>
        <w:top w:val="none" w:sz="0" w:space="0" w:color="auto"/>
        <w:left w:val="none" w:sz="0" w:space="0" w:color="auto"/>
        <w:bottom w:val="none" w:sz="0" w:space="0" w:color="auto"/>
        <w:right w:val="none" w:sz="0" w:space="0" w:color="auto"/>
      </w:divBdr>
    </w:div>
    <w:div w:id="495345744">
      <w:bodyDiv w:val="1"/>
      <w:marLeft w:val="0"/>
      <w:marRight w:val="0"/>
      <w:marTop w:val="0"/>
      <w:marBottom w:val="0"/>
      <w:divBdr>
        <w:top w:val="none" w:sz="0" w:space="0" w:color="auto"/>
        <w:left w:val="none" w:sz="0" w:space="0" w:color="auto"/>
        <w:bottom w:val="none" w:sz="0" w:space="0" w:color="auto"/>
        <w:right w:val="none" w:sz="0" w:space="0" w:color="auto"/>
      </w:divBdr>
      <w:divsChild>
        <w:div w:id="1597596438">
          <w:marLeft w:val="446"/>
          <w:marRight w:val="0"/>
          <w:marTop w:val="0"/>
          <w:marBottom w:val="0"/>
          <w:divBdr>
            <w:top w:val="none" w:sz="0" w:space="0" w:color="auto"/>
            <w:left w:val="none" w:sz="0" w:space="0" w:color="auto"/>
            <w:bottom w:val="none" w:sz="0" w:space="0" w:color="auto"/>
            <w:right w:val="none" w:sz="0" w:space="0" w:color="auto"/>
          </w:divBdr>
        </w:div>
        <w:div w:id="1155073324">
          <w:marLeft w:val="446"/>
          <w:marRight w:val="0"/>
          <w:marTop w:val="0"/>
          <w:marBottom w:val="0"/>
          <w:divBdr>
            <w:top w:val="none" w:sz="0" w:space="0" w:color="auto"/>
            <w:left w:val="none" w:sz="0" w:space="0" w:color="auto"/>
            <w:bottom w:val="none" w:sz="0" w:space="0" w:color="auto"/>
            <w:right w:val="none" w:sz="0" w:space="0" w:color="auto"/>
          </w:divBdr>
        </w:div>
        <w:div w:id="1917203180">
          <w:marLeft w:val="446"/>
          <w:marRight w:val="0"/>
          <w:marTop w:val="0"/>
          <w:marBottom w:val="0"/>
          <w:divBdr>
            <w:top w:val="none" w:sz="0" w:space="0" w:color="auto"/>
            <w:left w:val="none" w:sz="0" w:space="0" w:color="auto"/>
            <w:bottom w:val="none" w:sz="0" w:space="0" w:color="auto"/>
            <w:right w:val="none" w:sz="0" w:space="0" w:color="auto"/>
          </w:divBdr>
        </w:div>
      </w:divsChild>
    </w:div>
    <w:div w:id="693117741">
      <w:bodyDiv w:val="1"/>
      <w:marLeft w:val="0"/>
      <w:marRight w:val="0"/>
      <w:marTop w:val="0"/>
      <w:marBottom w:val="0"/>
      <w:divBdr>
        <w:top w:val="none" w:sz="0" w:space="0" w:color="auto"/>
        <w:left w:val="none" w:sz="0" w:space="0" w:color="auto"/>
        <w:bottom w:val="none" w:sz="0" w:space="0" w:color="auto"/>
        <w:right w:val="none" w:sz="0" w:space="0" w:color="auto"/>
      </w:divBdr>
    </w:div>
    <w:div w:id="762722281">
      <w:bodyDiv w:val="1"/>
      <w:marLeft w:val="0"/>
      <w:marRight w:val="0"/>
      <w:marTop w:val="0"/>
      <w:marBottom w:val="0"/>
      <w:divBdr>
        <w:top w:val="none" w:sz="0" w:space="0" w:color="auto"/>
        <w:left w:val="none" w:sz="0" w:space="0" w:color="auto"/>
        <w:bottom w:val="none" w:sz="0" w:space="0" w:color="auto"/>
        <w:right w:val="none" w:sz="0" w:space="0" w:color="auto"/>
      </w:divBdr>
    </w:div>
    <w:div w:id="781414011">
      <w:bodyDiv w:val="1"/>
      <w:marLeft w:val="0"/>
      <w:marRight w:val="0"/>
      <w:marTop w:val="0"/>
      <w:marBottom w:val="0"/>
      <w:divBdr>
        <w:top w:val="none" w:sz="0" w:space="0" w:color="auto"/>
        <w:left w:val="none" w:sz="0" w:space="0" w:color="auto"/>
        <w:bottom w:val="none" w:sz="0" w:space="0" w:color="auto"/>
        <w:right w:val="none" w:sz="0" w:space="0" w:color="auto"/>
      </w:divBdr>
    </w:div>
    <w:div w:id="878781794">
      <w:bodyDiv w:val="1"/>
      <w:marLeft w:val="0"/>
      <w:marRight w:val="0"/>
      <w:marTop w:val="0"/>
      <w:marBottom w:val="0"/>
      <w:divBdr>
        <w:top w:val="none" w:sz="0" w:space="0" w:color="auto"/>
        <w:left w:val="none" w:sz="0" w:space="0" w:color="auto"/>
        <w:bottom w:val="none" w:sz="0" w:space="0" w:color="auto"/>
        <w:right w:val="none" w:sz="0" w:space="0" w:color="auto"/>
      </w:divBdr>
    </w:div>
    <w:div w:id="906107344">
      <w:bodyDiv w:val="1"/>
      <w:marLeft w:val="0"/>
      <w:marRight w:val="0"/>
      <w:marTop w:val="0"/>
      <w:marBottom w:val="0"/>
      <w:divBdr>
        <w:top w:val="none" w:sz="0" w:space="0" w:color="auto"/>
        <w:left w:val="none" w:sz="0" w:space="0" w:color="auto"/>
        <w:bottom w:val="none" w:sz="0" w:space="0" w:color="auto"/>
        <w:right w:val="none" w:sz="0" w:space="0" w:color="auto"/>
      </w:divBdr>
    </w:div>
    <w:div w:id="1156070967">
      <w:bodyDiv w:val="1"/>
      <w:marLeft w:val="0"/>
      <w:marRight w:val="0"/>
      <w:marTop w:val="0"/>
      <w:marBottom w:val="0"/>
      <w:divBdr>
        <w:top w:val="none" w:sz="0" w:space="0" w:color="auto"/>
        <w:left w:val="none" w:sz="0" w:space="0" w:color="auto"/>
        <w:bottom w:val="none" w:sz="0" w:space="0" w:color="auto"/>
        <w:right w:val="none" w:sz="0" w:space="0" w:color="auto"/>
      </w:divBdr>
    </w:div>
    <w:div w:id="1219248142">
      <w:bodyDiv w:val="1"/>
      <w:marLeft w:val="0"/>
      <w:marRight w:val="0"/>
      <w:marTop w:val="0"/>
      <w:marBottom w:val="0"/>
      <w:divBdr>
        <w:top w:val="none" w:sz="0" w:space="0" w:color="auto"/>
        <w:left w:val="none" w:sz="0" w:space="0" w:color="auto"/>
        <w:bottom w:val="none" w:sz="0" w:space="0" w:color="auto"/>
        <w:right w:val="none" w:sz="0" w:space="0" w:color="auto"/>
      </w:divBdr>
    </w:div>
    <w:div w:id="1475178941">
      <w:bodyDiv w:val="1"/>
      <w:marLeft w:val="0"/>
      <w:marRight w:val="0"/>
      <w:marTop w:val="0"/>
      <w:marBottom w:val="0"/>
      <w:divBdr>
        <w:top w:val="none" w:sz="0" w:space="0" w:color="auto"/>
        <w:left w:val="none" w:sz="0" w:space="0" w:color="auto"/>
        <w:bottom w:val="none" w:sz="0" w:space="0" w:color="auto"/>
        <w:right w:val="none" w:sz="0" w:space="0" w:color="auto"/>
      </w:divBdr>
    </w:div>
    <w:div w:id="1531451433">
      <w:bodyDiv w:val="1"/>
      <w:marLeft w:val="0"/>
      <w:marRight w:val="0"/>
      <w:marTop w:val="0"/>
      <w:marBottom w:val="0"/>
      <w:divBdr>
        <w:top w:val="none" w:sz="0" w:space="0" w:color="auto"/>
        <w:left w:val="none" w:sz="0" w:space="0" w:color="auto"/>
        <w:bottom w:val="none" w:sz="0" w:space="0" w:color="auto"/>
        <w:right w:val="none" w:sz="0" w:space="0" w:color="auto"/>
      </w:divBdr>
    </w:div>
    <w:div w:id="1579361295">
      <w:bodyDiv w:val="1"/>
      <w:marLeft w:val="0"/>
      <w:marRight w:val="0"/>
      <w:marTop w:val="0"/>
      <w:marBottom w:val="0"/>
      <w:divBdr>
        <w:top w:val="none" w:sz="0" w:space="0" w:color="auto"/>
        <w:left w:val="none" w:sz="0" w:space="0" w:color="auto"/>
        <w:bottom w:val="none" w:sz="0" w:space="0" w:color="auto"/>
        <w:right w:val="none" w:sz="0" w:space="0" w:color="auto"/>
      </w:divBdr>
    </w:div>
    <w:div w:id="1747848233">
      <w:bodyDiv w:val="1"/>
      <w:marLeft w:val="0"/>
      <w:marRight w:val="0"/>
      <w:marTop w:val="0"/>
      <w:marBottom w:val="0"/>
      <w:divBdr>
        <w:top w:val="none" w:sz="0" w:space="0" w:color="auto"/>
        <w:left w:val="none" w:sz="0" w:space="0" w:color="auto"/>
        <w:bottom w:val="none" w:sz="0" w:space="0" w:color="auto"/>
        <w:right w:val="none" w:sz="0" w:space="0" w:color="auto"/>
      </w:divBdr>
    </w:div>
    <w:div w:id="1931429814">
      <w:bodyDiv w:val="1"/>
      <w:marLeft w:val="0"/>
      <w:marRight w:val="0"/>
      <w:marTop w:val="0"/>
      <w:marBottom w:val="0"/>
      <w:divBdr>
        <w:top w:val="none" w:sz="0" w:space="0" w:color="auto"/>
        <w:left w:val="none" w:sz="0" w:space="0" w:color="auto"/>
        <w:bottom w:val="none" w:sz="0" w:space="0" w:color="auto"/>
        <w:right w:val="none" w:sz="0" w:space="0" w:color="auto"/>
      </w:divBdr>
    </w:div>
    <w:div w:id="1931622805">
      <w:bodyDiv w:val="1"/>
      <w:marLeft w:val="0"/>
      <w:marRight w:val="0"/>
      <w:marTop w:val="0"/>
      <w:marBottom w:val="0"/>
      <w:divBdr>
        <w:top w:val="none" w:sz="0" w:space="0" w:color="auto"/>
        <w:left w:val="none" w:sz="0" w:space="0" w:color="auto"/>
        <w:bottom w:val="none" w:sz="0" w:space="0" w:color="auto"/>
        <w:right w:val="none" w:sz="0" w:space="0" w:color="auto"/>
      </w:divBdr>
    </w:div>
    <w:div w:id="194533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3.xm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n/Dropbox/00%202020%20En%20movimiento/2019-2020%20ODIM/2019%20OSF%20-%20ODIM/Libro%20Re&#769;gimen%20Violencia/Capi&#769;tulo%20Sentencias/200729%20Tabla%20verdad-justici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an/Dropbox/00%202020%20En%20movimiento/2019-2020%20ODIM/2019%20OSF%20-%20ODIM/Libro%20Re&#769;gimen%20Violencia/Capi&#769;tulo%20Sentencias/200729%20Tabla%20verdad-justic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an/Dropbox/00%202020%20En%20movimiento/2019-2020%20ODIM/2019%20OSF%20-%20ODIM/Libro%20Re&#769;gimen%20Violencia/Capi&#769;tulo%20Sentencias/200729%20Tabla%20verdad-justic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an/Dropbox/00%202020%20En%20movimiento/2019-2020%20ODIM/2019%20OSF%20-%20ODIM/2020%20Trabajo%20de%20campo/Ana&#769;lisis%20de%20sentencias%20generales/200420%20Base%20ana&#769;lisis%20sentencias%20general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San/Dropbox/00%202020%20En%20movimiento/2019-2020%20ODIM/2019%20OSF%20-%20ODIM/Libro%20Re&#769;gimen%20Violencia/Capi&#769;tulo%20Sentencias/200729%20Tabla%20verdad-justici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Mapa!$D$51</c:f>
              <c:strCache>
                <c:ptCount val="1"/>
                <c:pt idx="0">
                  <c:v>Sentencia Federal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Mapa!$C$52:$C$62</c:f>
              <c:strCache>
                <c:ptCount val="11"/>
                <c:pt idx="0">
                  <c:v>Guanajuato</c:v>
                </c:pt>
                <c:pt idx="1">
                  <c:v>Michoacán</c:v>
                </c:pt>
                <c:pt idx="2">
                  <c:v>Jalisco</c:v>
                </c:pt>
                <c:pt idx="3">
                  <c:v>Chihuahua</c:v>
                </c:pt>
                <c:pt idx="4">
                  <c:v>Sinaloa</c:v>
                </c:pt>
                <c:pt idx="5">
                  <c:v>CDMX</c:v>
                </c:pt>
                <c:pt idx="6">
                  <c:v>Sonora</c:v>
                </c:pt>
                <c:pt idx="7">
                  <c:v>Oaxaca</c:v>
                </c:pt>
                <c:pt idx="8">
                  <c:v>Nuevo León</c:v>
                </c:pt>
                <c:pt idx="9">
                  <c:v>Veracruz</c:v>
                </c:pt>
                <c:pt idx="10">
                  <c:v>Coahuila</c:v>
                </c:pt>
              </c:strCache>
            </c:strRef>
          </c:cat>
          <c:val>
            <c:numRef>
              <c:f>Mapa!$D$52:$D$62</c:f>
              <c:numCache>
                <c:formatCode>General</c:formatCode>
                <c:ptCount val="11"/>
                <c:pt idx="0">
                  <c:v>1</c:v>
                </c:pt>
                <c:pt idx="1">
                  <c:v>1</c:v>
                </c:pt>
                <c:pt idx="2">
                  <c:v>2</c:v>
                </c:pt>
                <c:pt idx="3">
                  <c:v>3</c:v>
                </c:pt>
                <c:pt idx="4">
                  <c:v>1</c:v>
                </c:pt>
                <c:pt idx="5">
                  <c:v>1</c:v>
                </c:pt>
                <c:pt idx="6">
                  <c:v>1</c:v>
                </c:pt>
                <c:pt idx="7">
                  <c:v>1</c:v>
                </c:pt>
                <c:pt idx="8">
                  <c:v>3</c:v>
                </c:pt>
                <c:pt idx="9">
                  <c:v>1</c:v>
                </c:pt>
                <c:pt idx="10">
                  <c:v>0</c:v>
                </c:pt>
              </c:numCache>
            </c:numRef>
          </c:val>
          <c:extLst>
            <c:ext xmlns:c16="http://schemas.microsoft.com/office/drawing/2014/chart" uri="{C3380CC4-5D6E-409C-BE32-E72D297353CC}">
              <c16:uniqueId val="{00000000-9A0D-C947-BD98-E1ED0681318D}"/>
            </c:ext>
          </c:extLst>
        </c:ser>
        <c:ser>
          <c:idx val="1"/>
          <c:order val="1"/>
          <c:tx>
            <c:strRef>
              <c:f>Mapa!$E$51</c:f>
              <c:strCache>
                <c:ptCount val="1"/>
                <c:pt idx="0">
                  <c:v>Sentencia Local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Mapa!$C$52:$C$62</c:f>
              <c:strCache>
                <c:ptCount val="11"/>
                <c:pt idx="0">
                  <c:v>Guanajuato</c:v>
                </c:pt>
                <c:pt idx="1">
                  <c:v>Michoacán</c:v>
                </c:pt>
                <c:pt idx="2">
                  <c:v>Jalisco</c:v>
                </c:pt>
                <c:pt idx="3">
                  <c:v>Chihuahua</c:v>
                </c:pt>
                <c:pt idx="4">
                  <c:v>Sinaloa</c:v>
                </c:pt>
                <c:pt idx="5">
                  <c:v>CDMX</c:v>
                </c:pt>
                <c:pt idx="6">
                  <c:v>Sonora</c:v>
                </c:pt>
                <c:pt idx="7">
                  <c:v>Oaxaca</c:v>
                </c:pt>
                <c:pt idx="8">
                  <c:v>Nuevo León</c:v>
                </c:pt>
                <c:pt idx="9">
                  <c:v>Veracruz</c:v>
                </c:pt>
                <c:pt idx="10">
                  <c:v>Coahuila</c:v>
                </c:pt>
              </c:strCache>
            </c:strRef>
          </c:cat>
          <c:val>
            <c:numRef>
              <c:f>Mapa!$E$52:$E$62</c:f>
              <c:numCache>
                <c:formatCode>General</c:formatCode>
                <c:ptCount val="11"/>
                <c:pt idx="0">
                  <c:v>0</c:v>
                </c:pt>
                <c:pt idx="1">
                  <c:v>0</c:v>
                </c:pt>
                <c:pt idx="2">
                  <c:v>3</c:v>
                </c:pt>
                <c:pt idx="3">
                  <c:v>6</c:v>
                </c:pt>
                <c:pt idx="4">
                  <c:v>0</c:v>
                </c:pt>
                <c:pt idx="5">
                  <c:v>0</c:v>
                </c:pt>
                <c:pt idx="6">
                  <c:v>0</c:v>
                </c:pt>
                <c:pt idx="7">
                  <c:v>0</c:v>
                </c:pt>
                <c:pt idx="8">
                  <c:v>1</c:v>
                </c:pt>
                <c:pt idx="9">
                  <c:v>1</c:v>
                </c:pt>
                <c:pt idx="10">
                  <c:v>2</c:v>
                </c:pt>
              </c:numCache>
            </c:numRef>
          </c:val>
          <c:extLst>
            <c:ext xmlns:c16="http://schemas.microsoft.com/office/drawing/2014/chart" uri="{C3380CC4-5D6E-409C-BE32-E72D297353CC}">
              <c16:uniqueId val="{00000001-9A0D-C947-BD98-E1ED0681318D}"/>
            </c:ext>
          </c:extLst>
        </c:ser>
        <c:dLbls>
          <c:showLegendKey val="0"/>
          <c:showVal val="0"/>
          <c:showCatName val="0"/>
          <c:showSerName val="0"/>
          <c:showPercent val="0"/>
          <c:showBubbleSize val="0"/>
        </c:dLbls>
        <c:gapWidth val="150"/>
        <c:overlap val="100"/>
        <c:axId val="872862799"/>
        <c:axId val="872987951"/>
      </c:barChart>
      <c:catAx>
        <c:axId val="872862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72987951"/>
        <c:crosses val="autoZero"/>
        <c:auto val="1"/>
        <c:lblAlgn val="ctr"/>
        <c:lblOffset val="100"/>
        <c:noMultiLvlLbl val="0"/>
      </c:catAx>
      <c:valAx>
        <c:axId val="872987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72862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Condena!$F$3</c:f>
              <c:strCache>
                <c:ptCount val="1"/>
                <c:pt idx="0">
                  <c:v>Federal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Condena!$G$2:$I$2</c:f>
              <c:strCache>
                <c:ptCount val="3"/>
                <c:pt idx="0">
                  <c:v>Condena</c:v>
                </c:pt>
                <c:pt idx="1">
                  <c:v>Absuelve</c:v>
                </c:pt>
                <c:pt idx="2">
                  <c:v>Absuelve y condena</c:v>
                </c:pt>
              </c:strCache>
            </c:strRef>
          </c:cat>
          <c:val>
            <c:numRef>
              <c:f>Condena!$G$3:$I$3</c:f>
              <c:numCache>
                <c:formatCode>0.00%</c:formatCode>
                <c:ptCount val="3"/>
                <c:pt idx="0">
                  <c:v>0.8666666666666667</c:v>
                </c:pt>
                <c:pt idx="1">
                  <c:v>0.13333333333333333</c:v>
                </c:pt>
                <c:pt idx="2">
                  <c:v>0</c:v>
                </c:pt>
              </c:numCache>
            </c:numRef>
          </c:val>
          <c:extLst>
            <c:ext xmlns:c16="http://schemas.microsoft.com/office/drawing/2014/chart" uri="{C3380CC4-5D6E-409C-BE32-E72D297353CC}">
              <c16:uniqueId val="{00000000-FBC0-704B-8AF6-A3C649609433}"/>
            </c:ext>
          </c:extLst>
        </c:ser>
        <c:ser>
          <c:idx val="1"/>
          <c:order val="1"/>
          <c:tx>
            <c:strRef>
              <c:f>Condena!$F$4</c:f>
              <c:strCache>
                <c:ptCount val="1"/>
                <c:pt idx="0">
                  <c:v>Local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Condena!$G$2:$I$2</c:f>
              <c:strCache>
                <c:ptCount val="3"/>
                <c:pt idx="0">
                  <c:v>Condena</c:v>
                </c:pt>
                <c:pt idx="1">
                  <c:v>Absuelve</c:v>
                </c:pt>
                <c:pt idx="2">
                  <c:v>Absuelve y condena</c:v>
                </c:pt>
              </c:strCache>
            </c:strRef>
          </c:cat>
          <c:val>
            <c:numRef>
              <c:f>Condena!$G$4:$I$4</c:f>
              <c:numCache>
                <c:formatCode>0.00%</c:formatCode>
                <c:ptCount val="3"/>
                <c:pt idx="0">
                  <c:v>0.63636363636363635</c:v>
                </c:pt>
                <c:pt idx="1">
                  <c:v>0.18181818181818182</c:v>
                </c:pt>
                <c:pt idx="2">
                  <c:v>0.18181818181818182</c:v>
                </c:pt>
              </c:numCache>
            </c:numRef>
          </c:val>
          <c:extLst>
            <c:ext xmlns:c16="http://schemas.microsoft.com/office/drawing/2014/chart" uri="{C3380CC4-5D6E-409C-BE32-E72D297353CC}">
              <c16:uniqueId val="{00000001-FBC0-704B-8AF6-A3C649609433}"/>
            </c:ext>
          </c:extLst>
        </c:ser>
        <c:dLbls>
          <c:showLegendKey val="0"/>
          <c:showVal val="0"/>
          <c:showCatName val="0"/>
          <c:showSerName val="0"/>
          <c:showPercent val="0"/>
          <c:showBubbleSize val="0"/>
        </c:dLbls>
        <c:gapWidth val="150"/>
        <c:overlap val="100"/>
        <c:axId val="839829535"/>
        <c:axId val="872999615"/>
      </c:barChart>
      <c:catAx>
        <c:axId val="839829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72999615"/>
        <c:crosses val="autoZero"/>
        <c:auto val="1"/>
        <c:lblAlgn val="ctr"/>
        <c:lblOffset val="100"/>
        <c:noMultiLvlLbl val="0"/>
      </c:catAx>
      <c:valAx>
        <c:axId val="8729996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39829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Tiempo!$I$26</c:f>
              <c:strCache>
                <c:ptCount val="1"/>
                <c:pt idx="0">
                  <c:v>Días para la sentencia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Tiempo!$H$27:$H$48</c:f>
              <c:strCache>
                <c:ptCount val="22"/>
                <c:pt idx="0">
                  <c:v>Guanajuato F01</c:v>
                </c:pt>
                <c:pt idx="1">
                  <c:v>Chihuahua F01</c:v>
                </c:pt>
                <c:pt idx="2">
                  <c:v>CDMX F01</c:v>
                </c:pt>
                <c:pt idx="3">
                  <c:v>Oaxaca F01</c:v>
                </c:pt>
                <c:pt idx="4">
                  <c:v>Chihuahua L01</c:v>
                </c:pt>
                <c:pt idx="5">
                  <c:v>Chihuahua F02</c:v>
                </c:pt>
                <c:pt idx="6">
                  <c:v>Nuevo León F01</c:v>
                </c:pt>
                <c:pt idx="7">
                  <c:v>Nuevo León F02</c:v>
                </c:pt>
                <c:pt idx="8">
                  <c:v>Chihuahua L02</c:v>
                </c:pt>
                <c:pt idx="9">
                  <c:v>Jalisco F01</c:v>
                </c:pt>
                <c:pt idx="10">
                  <c:v>Chihuahua L03</c:v>
                </c:pt>
                <c:pt idx="11">
                  <c:v>Nuevo León F03</c:v>
                </c:pt>
                <c:pt idx="12">
                  <c:v>Veracruz F01</c:v>
                </c:pt>
                <c:pt idx="13">
                  <c:v>Coahuila L01</c:v>
                </c:pt>
                <c:pt idx="14">
                  <c:v>Chihuahua F03</c:v>
                </c:pt>
                <c:pt idx="15">
                  <c:v>Jalisco L01</c:v>
                </c:pt>
                <c:pt idx="16">
                  <c:v>Coahuila L02</c:v>
                </c:pt>
                <c:pt idx="17">
                  <c:v>Nuevo León L01</c:v>
                </c:pt>
                <c:pt idx="18">
                  <c:v>Chihuahua L04</c:v>
                </c:pt>
                <c:pt idx="19">
                  <c:v>Chihuahua L05</c:v>
                </c:pt>
                <c:pt idx="20">
                  <c:v>Veracruz L01</c:v>
                </c:pt>
                <c:pt idx="21">
                  <c:v>Chihuahua L06</c:v>
                </c:pt>
              </c:strCache>
            </c:strRef>
          </c:cat>
          <c:val>
            <c:numRef>
              <c:f>Tiempo!$I$27:$I$48</c:f>
              <c:numCache>
                <c:formatCode>General</c:formatCode>
                <c:ptCount val="22"/>
                <c:pt idx="0">
                  <c:v>667</c:v>
                </c:pt>
                <c:pt idx="1">
                  <c:v>411</c:v>
                </c:pt>
                <c:pt idx="2">
                  <c:v>3029</c:v>
                </c:pt>
                <c:pt idx="3">
                  <c:v>845</c:v>
                </c:pt>
                <c:pt idx="4">
                  <c:v>1325</c:v>
                </c:pt>
                <c:pt idx="5">
                  <c:v>1470</c:v>
                </c:pt>
                <c:pt idx="6">
                  <c:v>1185</c:v>
                </c:pt>
                <c:pt idx="7">
                  <c:v>956</c:v>
                </c:pt>
                <c:pt idx="8">
                  <c:v>1227</c:v>
                </c:pt>
                <c:pt idx="9">
                  <c:v>2034</c:v>
                </c:pt>
                <c:pt idx="10">
                  <c:v>1728</c:v>
                </c:pt>
                <c:pt idx="11">
                  <c:v>1784</c:v>
                </c:pt>
                <c:pt idx="12">
                  <c:v>2459</c:v>
                </c:pt>
                <c:pt idx="13">
                  <c:v>2014</c:v>
                </c:pt>
                <c:pt idx="14">
                  <c:v>3478</c:v>
                </c:pt>
                <c:pt idx="15">
                  <c:v>955</c:v>
                </c:pt>
                <c:pt idx="16">
                  <c:v>2665</c:v>
                </c:pt>
                <c:pt idx="17">
                  <c:v>1455</c:v>
                </c:pt>
                <c:pt idx="18">
                  <c:v>675</c:v>
                </c:pt>
                <c:pt idx="19">
                  <c:v>541</c:v>
                </c:pt>
                <c:pt idx="20">
                  <c:v>482</c:v>
                </c:pt>
                <c:pt idx="21">
                  <c:v>2405</c:v>
                </c:pt>
              </c:numCache>
            </c:numRef>
          </c:val>
          <c:smooth val="0"/>
          <c:extLst>
            <c:ext xmlns:c16="http://schemas.microsoft.com/office/drawing/2014/chart" uri="{C3380CC4-5D6E-409C-BE32-E72D297353CC}">
              <c16:uniqueId val="{00000001-27E4-394C-B7A5-2EFA819B9224}"/>
            </c:ext>
          </c:extLst>
        </c:ser>
        <c:dLbls>
          <c:showLegendKey val="0"/>
          <c:showVal val="0"/>
          <c:showCatName val="0"/>
          <c:showSerName val="0"/>
          <c:showPercent val="0"/>
          <c:showBubbleSize val="0"/>
        </c:dLbls>
        <c:marker val="1"/>
        <c:smooth val="0"/>
        <c:axId val="944633855"/>
        <c:axId val="965247007"/>
      </c:lineChart>
      <c:catAx>
        <c:axId val="944633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65247007"/>
        <c:crosses val="autoZero"/>
        <c:auto val="1"/>
        <c:lblAlgn val="ctr"/>
        <c:lblOffset val="100"/>
        <c:noMultiLvlLbl val="0"/>
      </c:catAx>
      <c:valAx>
        <c:axId val="965247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4463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Hoja3!$I$44:$I$51</c:f>
              <c:strCache>
                <c:ptCount val="8"/>
                <c:pt idx="0">
                  <c:v>Agente federal de investigación</c:v>
                </c:pt>
                <c:pt idx="1">
                  <c:v>Militar</c:v>
                </c:pt>
                <c:pt idx="2">
                  <c:v>Policía municipal</c:v>
                </c:pt>
                <c:pt idx="3">
                  <c:v>Policía federal</c:v>
                </c:pt>
                <c:pt idx="4">
                  <c:v>Policía estatal</c:v>
                </c:pt>
                <c:pt idx="5">
                  <c:v>Dirección Federal de seguridad</c:v>
                </c:pt>
                <c:pt idx="6">
                  <c:v>Custodio en Cereso</c:v>
                </c:pt>
                <c:pt idx="7">
                  <c:v>Oficial de tránsito y vialidad</c:v>
                </c:pt>
              </c:strCache>
            </c:strRef>
          </c:cat>
          <c:val>
            <c:numRef>
              <c:f>Hoja3!$J$44:$J$51</c:f>
              <c:numCache>
                <c:formatCode>General</c:formatCode>
                <c:ptCount val="8"/>
                <c:pt idx="0">
                  <c:v>6</c:v>
                </c:pt>
                <c:pt idx="1">
                  <c:v>5</c:v>
                </c:pt>
                <c:pt idx="2">
                  <c:v>4</c:v>
                </c:pt>
                <c:pt idx="3">
                  <c:v>3</c:v>
                </c:pt>
                <c:pt idx="4">
                  <c:v>1</c:v>
                </c:pt>
                <c:pt idx="5">
                  <c:v>1</c:v>
                </c:pt>
                <c:pt idx="6">
                  <c:v>1</c:v>
                </c:pt>
                <c:pt idx="7">
                  <c:v>1</c:v>
                </c:pt>
              </c:numCache>
            </c:numRef>
          </c:val>
          <c:extLst>
            <c:ext xmlns:c16="http://schemas.microsoft.com/office/drawing/2014/chart" uri="{C3380CC4-5D6E-409C-BE32-E72D297353CC}">
              <c16:uniqueId val="{00000000-F58F-8947-8A14-0591DFFCBF32}"/>
            </c:ext>
          </c:extLst>
        </c:ser>
        <c:dLbls>
          <c:showLegendKey val="0"/>
          <c:showVal val="0"/>
          <c:showCatName val="0"/>
          <c:showSerName val="0"/>
          <c:showPercent val="0"/>
          <c:showBubbleSize val="0"/>
        </c:dLbls>
        <c:gapWidth val="182"/>
        <c:axId val="1121252080"/>
        <c:axId val="1121012176"/>
      </c:barChart>
      <c:catAx>
        <c:axId val="1121252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21012176"/>
        <c:crosses val="autoZero"/>
        <c:auto val="1"/>
        <c:lblAlgn val="ctr"/>
        <c:lblOffset val="100"/>
        <c:noMultiLvlLbl val="0"/>
      </c:catAx>
      <c:valAx>
        <c:axId val="1121012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21252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Condena!$D$34</c:f>
              <c:strCache>
                <c:ptCount val="1"/>
                <c:pt idx="0">
                  <c:v>Tiempo (años cerrados)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Condena!$C$35:$C$52</c:f>
              <c:strCache>
                <c:ptCount val="18"/>
                <c:pt idx="0">
                  <c:v>Agente federal de investigación 01</c:v>
                </c:pt>
                <c:pt idx="1">
                  <c:v>Agente federal de investigación 01</c:v>
                </c:pt>
                <c:pt idx="2">
                  <c:v>Agente federal de investigación 03</c:v>
                </c:pt>
                <c:pt idx="3">
                  <c:v>Militar 01</c:v>
                </c:pt>
                <c:pt idx="4">
                  <c:v>Militar 02</c:v>
                </c:pt>
                <c:pt idx="5">
                  <c:v>Agente federal de investigación 04</c:v>
                </c:pt>
                <c:pt idx="6">
                  <c:v>Militar 03</c:v>
                </c:pt>
                <c:pt idx="7">
                  <c:v>Policía federal 01</c:v>
                </c:pt>
                <c:pt idx="8">
                  <c:v>Policía federal 02</c:v>
                </c:pt>
                <c:pt idx="9">
                  <c:v>Dirección Federal de Seguridad</c:v>
                </c:pt>
                <c:pt idx="10">
                  <c:v>Policía federal 03</c:v>
                </c:pt>
                <c:pt idx="11">
                  <c:v>Militar 04</c:v>
                </c:pt>
                <c:pt idx="12">
                  <c:v>Policía Estatal</c:v>
                </c:pt>
                <c:pt idx="13">
                  <c:v>Policía municipal 01</c:v>
                </c:pt>
                <c:pt idx="14">
                  <c:v>Policía Municipal 02</c:v>
                </c:pt>
                <c:pt idx="15">
                  <c:v>Oficial de tránsito y vialidad</c:v>
                </c:pt>
                <c:pt idx="16">
                  <c:v>Custodio en Cereso</c:v>
                </c:pt>
                <c:pt idx="17">
                  <c:v>Policía municipal 03 </c:v>
                </c:pt>
              </c:strCache>
            </c:strRef>
          </c:cat>
          <c:val>
            <c:numRef>
              <c:f>Condena!$D$35:$D$52</c:f>
              <c:numCache>
                <c:formatCode>General</c:formatCode>
                <c:ptCount val="18"/>
                <c:pt idx="0">
                  <c:v>6</c:v>
                </c:pt>
                <c:pt idx="1">
                  <c:v>3</c:v>
                </c:pt>
                <c:pt idx="2">
                  <c:v>27</c:v>
                </c:pt>
                <c:pt idx="3">
                  <c:v>8</c:v>
                </c:pt>
                <c:pt idx="4">
                  <c:v>9</c:v>
                </c:pt>
                <c:pt idx="5">
                  <c:v>5</c:v>
                </c:pt>
                <c:pt idx="6">
                  <c:v>15</c:v>
                </c:pt>
                <c:pt idx="7">
                  <c:v>31</c:v>
                </c:pt>
                <c:pt idx="8">
                  <c:v>9</c:v>
                </c:pt>
                <c:pt idx="9">
                  <c:v>79</c:v>
                </c:pt>
                <c:pt idx="10">
                  <c:v>5</c:v>
                </c:pt>
                <c:pt idx="11">
                  <c:v>15</c:v>
                </c:pt>
                <c:pt idx="12">
                  <c:v>57</c:v>
                </c:pt>
                <c:pt idx="13">
                  <c:v>5</c:v>
                </c:pt>
                <c:pt idx="14">
                  <c:v>10</c:v>
                </c:pt>
                <c:pt idx="15">
                  <c:v>22</c:v>
                </c:pt>
                <c:pt idx="16">
                  <c:v>28</c:v>
                </c:pt>
                <c:pt idx="17">
                  <c:v>15</c:v>
                </c:pt>
              </c:numCache>
            </c:numRef>
          </c:val>
          <c:extLst>
            <c:ext xmlns:c16="http://schemas.microsoft.com/office/drawing/2014/chart" uri="{C3380CC4-5D6E-409C-BE32-E72D297353CC}">
              <c16:uniqueId val="{00000000-128D-474A-A3A7-9DF272A69514}"/>
            </c:ext>
          </c:extLst>
        </c:ser>
        <c:dLbls>
          <c:showLegendKey val="0"/>
          <c:showVal val="0"/>
          <c:showCatName val="0"/>
          <c:showSerName val="0"/>
          <c:showPercent val="0"/>
          <c:showBubbleSize val="0"/>
        </c:dLbls>
        <c:gapWidth val="182"/>
        <c:axId val="922166735"/>
        <c:axId val="922173151"/>
      </c:barChart>
      <c:catAx>
        <c:axId val="9221667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2173151"/>
        <c:crosses val="autoZero"/>
        <c:auto val="1"/>
        <c:lblAlgn val="ctr"/>
        <c:lblOffset val="100"/>
        <c:noMultiLvlLbl val="0"/>
      </c:catAx>
      <c:valAx>
        <c:axId val="9221731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2166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Cor091</b:Tag>
    <b:SourceType>Case</b:SourceType>
    <b:Guid>{D20A5A02-32F8-D54F-B84A-1C2825F09431}</b:Guid>
    <b:Title>Caso Radilla Pacheco Vs. México</b:Title>
    <b:Year>2009</b:Year>
    <b:CaseNumber>209</b:CaseNumber>
    <b:Court>Corte Interamericana de Derechos Humanos</b:Court>
    <b:Month>Noviembre</b:Month>
    <b:Day>23</b:Day>
    <b:Author>
      <b:Author>
        <b:NameList>
          <b:Person>
            <b:Last>CorteIDH</b:Last>
          </b:Person>
        </b:NameList>
      </b:Author>
    </b:Author>
    <b:RefOrder>1</b:RefOrder>
  </b:Source>
  <b:Source>
    <b:Tag>Cor061</b:Tag>
    <b:SourceType>Case</b:SourceType>
    <b:Guid>{8804E339-5C4D-A740-A763-1443B6B72233}</b:Guid>
    <b:Title>Caso de la Masacre de Pueblo Bello Vs. Colombia</b:Title>
    <b:CaseNumber>140</b:CaseNumber>
    <b:Court>Corte Interamericana de Derechos Humanos</b:Court>
    <b:Year>2006</b:Year>
    <b:Month>Enero</b:Month>
    <b:Day>31</b:Day>
    <b:Author>
      <b:Author>
        <b:Corporate>CorteIDH</b:Corporate>
      </b:Author>
    </b:Author>
    <b:RefOrder>2</b:RefOrder>
  </b:Source>
  <b:Source>
    <b:Tag>Cor092</b:Tag>
    <b:SourceType>Case</b:SourceType>
    <b:Guid>{71E51022-5596-9241-A1AA-3C915617BB15}</b:Guid>
    <b:Title>Caso González y otras (“Campo Algodonero”) Vs. México</b:Title>
    <b:CaseNumber>205</b:CaseNumber>
    <b:Court>Corte Interamericana de Derechos Humanos</b:Court>
    <b:Year>2009</b:Year>
    <b:Month>Noviembre</b:Month>
    <b:Day>16</b:Day>
    <b:Author>
      <b:Author>
        <b:Corporate>CorteIDH</b:Corporate>
      </b:Author>
    </b:Author>
    <b:RefOrder>3</b:RefOrder>
  </b:Source>
  <b:Source>
    <b:Tag>Cor10</b:Tag>
    <b:SourceType>Case</b:SourceType>
    <b:Guid>{BA6037F1-FA39-F64B-BB69-2D7B768DC248}</b:Guid>
    <b:Title>Caso Ibsen Cárdenas e Ibsen Peña Vs. Bolivia</b:Title>
    <b:CaseNumber>217</b:CaseNumber>
    <b:Court>Corte Interamericana de Derechos Humanos</b:Court>
    <b:Year>2010</b:Year>
    <b:Month>Septiembre</b:Month>
    <b:Day>1</b:Day>
    <b:Author>
      <b:Author>
        <b:Corporate>CorteIDH</b:Corporate>
      </b:Author>
    </b:Author>
    <b:RefOrder>4</b:RefOrder>
  </b:Source>
  <b:Source>
    <b:Tag>Cor093</b:Tag>
    <b:SourceType>Case</b:SourceType>
    <b:Guid>{77DDFD3A-8D4A-A649-9527-56167ACE0E18}</b:Guid>
    <b:Title>Caso Anzualdo Castro Vs. Perú</b:Title>
    <b:CaseNumber>202</b:CaseNumber>
    <b:Court>Corte Interamericana de Derechos Humanos</b:Court>
    <b:Year>2009</b:Year>
    <b:Month>Septiembre</b:Month>
    <b:Day>22</b:Day>
    <b:Author>
      <b:Author>
        <b:Corporate>CorteIDH</b:Corporate>
      </b:Author>
    </b:Author>
    <b:RefOrder>5</b:RefOrder>
  </b:Source>
  <b:Source>
    <b:Tag>Cor06</b:Tag>
    <b:SourceType>Case</b:SourceType>
    <b:Guid>{35267E5C-D14E-074F-989D-B02F02E66411}</b:Guid>
    <b:Title>Caso La Cantuta Vs. Perú</b:Title>
    <b:CaseNumber>162</b:CaseNumber>
    <b:Court>Corte Interamericana de Derechos Humanos</b:Court>
    <b:Year>2006</b:Year>
    <b:Month>Noviembre</b:Month>
    <b:Day>29</b:Day>
    <b:Author>
      <b:Author>
        <b:Corporate>CorteIDH</b:Corporate>
      </b:Author>
    </b:Author>
    <b:RefOrder>6</b:RefOrder>
  </b:Source>
  <b:Source>
    <b:Tag>Cor98</b:Tag>
    <b:SourceType>Case</b:SourceType>
    <b:Guid>{A65458C9-022B-5D49-8A0B-5ECF36270C9C}</b:Guid>
    <b:Title>Caso Blake Vs. Guatemala</b:Title>
    <b:CaseNumber>36</b:CaseNumber>
    <b:Court>Corte Interamericana de Derechos Humanos</b:Court>
    <b:Year>1998</b:Year>
    <b:Month>Enero</b:Month>
    <b:Day>24</b:Day>
    <b:Author>
      <b:Author>
        <b:Corporate>CorteIDH</b:Corporate>
      </b:Author>
    </b:Author>
    <b:RefOrder>7</b:RefOrder>
  </b:Source>
  <b:Source>
    <b:Tag>Cor102</b:Tag>
    <b:SourceType>Case</b:SourceType>
    <b:Guid>{E8CC47DB-0E01-9940-B761-4485E35F6D59}</b:Guid>
    <b:Title>Caso Gomes Lund y otros ("Guerrilha do Araguaia") Vs. Brasil</b:Title>
    <b:CaseNumber>219</b:CaseNumber>
    <b:Court>Corte Interamericana de Derechos Humanos</b:Court>
    <b:Year>2010</b:Year>
    <b:Month>Noviembre</b:Month>
    <b:Day>24</b:Day>
    <b:Author>
      <b:Author>
        <b:Corporate>CorteIDH</b:Corporate>
      </b:Author>
    </b:Author>
    <b:RefOrder>8</b:RefOrder>
  </b:Source>
  <b:Source>
    <b:Tag>Cor18</b:Tag>
    <b:SourceType>Case</b:SourceType>
    <b:Guid>{1C76E513-EDD9-FB47-A375-6D7958B03284}</b:Guid>
    <b:Title>Caso Alvarado Espinoza y otros Vs. México</b:Title>
    <b:CaseNumber>370</b:CaseNumber>
    <b:Court>Corte Interamericana de Derechos Humanos</b:Court>
    <b:Year>2018</b:Year>
    <b:Month>Noviembre</b:Month>
    <b:Day>28</b:Day>
    <b:Author>
      <b:Author>
        <b:Corporate>CorteIDH</b:Corporate>
      </b:Author>
    </b:Author>
    <b:RefOrder>9</b:RefOrder>
  </b:Source>
</b:Sources>
</file>

<file path=customXml/itemProps1.xml><?xml version="1.0" encoding="utf-8"?>
<ds:datastoreItem xmlns:ds="http://schemas.openxmlformats.org/officeDocument/2006/customXml" ds:itemID="{38758737-8080-4E18-A879-138E9119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12686</Words>
  <Characters>69773</Characters>
  <Application>Microsoft Office Word</Application>
  <DocSecurity>0</DocSecurity>
  <Lines>581</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Serrano</dc:creator>
  <cp:keywords/>
  <dc:description/>
  <cp:lastModifiedBy>Karina Mariela Ansolabehere</cp:lastModifiedBy>
  <cp:revision>2</cp:revision>
  <dcterms:created xsi:type="dcterms:W3CDTF">2020-10-15T00:19:00Z</dcterms:created>
  <dcterms:modified xsi:type="dcterms:W3CDTF">2020-10-15T00:19:00Z</dcterms:modified>
</cp:coreProperties>
</file>